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606B" w14:textId="77777777" w:rsidR="00E4115B" w:rsidRDefault="00E4115B">
      <w:pPr>
        <w:rPr>
          <w:rFonts w:ascii="Times New Roman" w:hAnsi="Times New Roman" w:cs="Times New Roman"/>
          <w:b/>
          <w:sz w:val="24"/>
          <w:szCs w:val="24"/>
        </w:rPr>
      </w:pPr>
      <w:bookmarkStart w:id="0" w:name="_GoBack"/>
      <w:bookmarkEnd w:id="0"/>
    </w:p>
    <w:p w14:paraId="5EA3CC86" w14:textId="77777777" w:rsidR="00523BE6" w:rsidRDefault="00523BE6" w:rsidP="00E4115B">
      <w:pPr>
        <w:jc w:val="center"/>
        <w:rPr>
          <w:rFonts w:ascii="Times New Roman" w:hAnsi="Times New Roman" w:cs="Times New Roman"/>
          <w:b/>
          <w:sz w:val="24"/>
          <w:szCs w:val="24"/>
        </w:rPr>
      </w:pPr>
      <w:r w:rsidRPr="00E4115B">
        <w:rPr>
          <w:rFonts w:ascii="Times New Roman" w:hAnsi="Times New Roman" w:cs="Times New Roman"/>
          <w:b/>
          <w:sz w:val="24"/>
          <w:szCs w:val="24"/>
        </w:rPr>
        <w:t>VADELİ DOĞAL GAZ PİYASASI İŞLETİM USUL VE ESASLARI</w:t>
      </w:r>
    </w:p>
    <w:p w14:paraId="4D00BB31" w14:textId="2B15B74E" w:rsidR="00E4115B" w:rsidRPr="00E4115B" w:rsidRDefault="00E4115B" w:rsidP="00C63473">
      <w:pPr>
        <w:jc w:val="both"/>
        <w:rPr>
          <w:rFonts w:ascii="Times New Roman" w:hAnsi="Times New Roman" w:cs="Times New Roman"/>
          <w:b/>
          <w:sz w:val="24"/>
          <w:szCs w:val="24"/>
        </w:rPr>
      </w:pPr>
    </w:p>
    <w:p w14:paraId="301A1780" w14:textId="77777777" w:rsidR="00E4115B" w:rsidRPr="00E4115B" w:rsidRDefault="00E4115B" w:rsidP="00C63473">
      <w:pPr>
        <w:jc w:val="both"/>
        <w:rPr>
          <w:rFonts w:ascii="Times New Roman" w:hAnsi="Times New Roman" w:cs="Times New Roman"/>
          <w:b/>
          <w:sz w:val="24"/>
          <w:szCs w:val="24"/>
        </w:rPr>
      </w:pPr>
      <w:r w:rsidRPr="00E4115B">
        <w:rPr>
          <w:rFonts w:ascii="Times New Roman" w:hAnsi="Times New Roman" w:cs="Times New Roman"/>
          <w:b/>
          <w:sz w:val="24"/>
          <w:szCs w:val="24"/>
        </w:rPr>
        <w:t>İÇİNDEKİLER</w:t>
      </w:r>
    </w:p>
    <w:p w14:paraId="74045506" w14:textId="3584C376" w:rsidR="00E4115B" w:rsidRPr="00E4115B" w:rsidRDefault="00E4115B">
      <w:pPr>
        <w:pStyle w:val="T1"/>
        <w:tabs>
          <w:tab w:val="left" w:pos="440"/>
          <w:tab w:val="right" w:leader="dot" w:pos="9062"/>
        </w:tabs>
        <w:rPr>
          <w:rFonts w:ascii="Times New Roman" w:hAnsi="Times New Roman"/>
          <w:noProof/>
          <w:sz w:val="24"/>
          <w:szCs w:val="24"/>
        </w:rPr>
      </w:pPr>
      <w:r w:rsidRPr="00E4115B">
        <w:rPr>
          <w:rFonts w:ascii="Times New Roman" w:hAnsi="Times New Roman"/>
          <w:b/>
          <w:sz w:val="24"/>
          <w:szCs w:val="24"/>
        </w:rPr>
        <w:fldChar w:fldCharType="begin"/>
      </w:r>
      <w:r w:rsidRPr="00E4115B">
        <w:rPr>
          <w:rFonts w:ascii="Times New Roman" w:hAnsi="Times New Roman"/>
          <w:b/>
          <w:sz w:val="24"/>
          <w:szCs w:val="24"/>
        </w:rPr>
        <w:instrText xml:space="preserve"> TOC \o "1-2" \h \z \u </w:instrText>
      </w:r>
      <w:r w:rsidRPr="00E4115B">
        <w:rPr>
          <w:rFonts w:ascii="Times New Roman" w:hAnsi="Times New Roman"/>
          <w:b/>
          <w:sz w:val="24"/>
          <w:szCs w:val="24"/>
        </w:rPr>
        <w:fldChar w:fldCharType="separate"/>
      </w:r>
      <w:hyperlink w:anchor="_Toc64755899" w:history="1">
        <w:r w:rsidRPr="00E4115B">
          <w:rPr>
            <w:rStyle w:val="Kpr"/>
            <w:rFonts w:ascii="Times New Roman" w:hAnsi="Times New Roman"/>
            <w:noProof/>
            <w:sz w:val="24"/>
            <w:szCs w:val="24"/>
          </w:rPr>
          <w:t>1.</w:t>
        </w:r>
        <w:r w:rsidRPr="00E4115B">
          <w:rPr>
            <w:rFonts w:ascii="Times New Roman" w:hAnsi="Times New Roman"/>
            <w:noProof/>
            <w:sz w:val="24"/>
            <w:szCs w:val="24"/>
          </w:rPr>
          <w:tab/>
        </w:r>
        <w:r w:rsidRPr="00E4115B">
          <w:rPr>
            <w:rStyle w:val="Kpr"/>
            <w:rFonts w:ascii="Times New Roman" w:hAnsi="Times New Roman"/>
            <w:noProof/>
            <w:sz w:val="24"/>
            <w:szCs w:val="24"/>
          </w:rPr>
          <w:t>AMAÇ, KAPSAM VE DAYANAK</w:t>
        </w:r>
        <w:r w:rsidRPr="00E4115B">
          <w:rPr>
            <w:rFonts w:ascii="Times New Roman" w:hAnsi="Times New Roman"/>
            <w:noProof/>
            <w:webHidden/>
            <w:sz w:val="24"/>
            <w:szCs w:val="24"/>
          </w:rPr>
          <w:tab/>
        </w:r>
        <w:r w:rsidRPr="00E4115B">
          <w:rPr>
            <w:rFonts w:ascii="Times New Roman" w:hAnsi="Times New Roman"/>
            <w:noProof/>
            <w:webHidden/>
            <w:sz w:val="24"/>
            <w:szCs w:val="24"/>
          </w:rPr>
          <w:fldChar w:fldCharType="begin"/>
        </w:r>
        <w:r w:rsidRPr="00E4115B">
          <w:rPr>
            <w:rFonts w:ascii="Times New Roman" w:hAnsi="Times New Roman"/>
            <w:noProof/>
            <w:webHidden/>
            <w:sz w:val="24"/>
            <w:szCs w:val="24"/>
          </w:rPr>
          <w:instrText xml:space="preserve"> PAGEREF _Toc64755899 \h </w:instrText>
        </w:r>
        <w:r w:rsidRPr="00E4115B">
          <w:rPr>
            <w:rFonts w:ascii="Times New Roman" w:hAnsi="Times New Roman"/>
            <w:noProof/>
            <w:webHidden/>
            <w:sz w:val="24"/>
            <w:szCs w:val="24"/>
          </w:rPr>
        </w:r>
        <w:r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w:t>
        </w:r>
        <w:r w:rsidRPr="00E4115B">
          <w:rPr>
            <w:rFonts w:ascii="Times New Roman" w:hAnsi="Times New Roman"/>
            <w:noProof/>
            <w:webHidden/>
            <w:sz w:val="24"/>
            <w:szCs w:val="24"/>
          </w:rPr>
          <w:fldChar w:fldCharType="end"/>
        </w:r>
      </w:hyperlink>
    </w:p>
    <w:p w14:paraId="653ECAFA" w14:textId="43A8EFA1" w:rsidR="00E4115B" w:rsidRPr="00E4115B" w:rsidRDefault="00F92C1E">
      <w:pPr>
        <w:pStyle w:val="T2"/>
        <w:tabs>
          <w:tab w:val="left" w:pos="880"/>
          <w:tab w:val="right" w:leader="dot" w:pos="9062"/>
        </w:tabs>
        <w:rPr>
          <w:rFonts w:ascii="Times New Roman" w:hAnsi="Times New Roman"/>
          <w:noProof/>
          <w:sz w:val="24"/>
          <w:szCs w:val="24"/>
        </w:rPr>
      </w:pPr>
      <w:hyperlink w:anchor="_Toc64755900" w:history="1">
        <w:r w:rsidR="00E4115B" w:rsidRPr="00E4115B">
          <w:rPr>
            <w:rStyle w:val="Kpr"/>
            <w:rFonts w:ascii="Times New Roman" w:hAnsi="Times New Roman"/>
            <w:noProof/>
            <w:sz w:val="24"/>
            <w:szCs w:val="24"/>
          </w:rPr>
          <w:t>1.1.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Amaç ve Kapsam</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_Toc64755900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w:t>
        </w:r>
        <w:r w:rsidR="00E4115B" w:rsidRPr="00E4115B">
          <w:rPr>
            <w:rFonts w:ascii="Times New Roman" w:hAnsi="Times New Roman"/>
            <w:noProof/>
            <w:webHidden/>
            <w:sz w:val="24"/>
            <w:szCs w:val="24"/>
          </w:rPr>
          <w:fldChar w:fldCharType="end"/>
        </w:r>
      </w:hyperlink>
    </w:p>
    <w:p w14:paraId="34FDC624" w14:textId="1CDAC248" w:rsidR="00E4115B" w:rsidRPr="00E4115B" w:rsidRDefault="00F92C1E">
      <w:pPr>
        <w:pStyle w:val="T2"/>
        <w:tabs>
          <w:tab w:val="left" w:pos="880"/>
          <w:tab w:val="right" w:leader="dot" w:pos="9062"/>
        </w:tabs>
        <w:rPr>
          <w:rFonts w:ascii="Times New Roman" w:hAnsi="Times New Roman"/>
          <w:noProof/>
          <w:sz w:val="24"/>
          <w:szCs w:val="24"/>
        </w:rPr>
      </w:pPr>
      <w:hyperlink w:anchor="_Toc64755901" w:history="1">
        <w:r w:rsidR="00E4115B" w:rsidRPr="00E4115B">
          <w:rPr>
            <w:rStyle w:val="Kpr"/>
            <w:rFonts w:ascii="Times New Roman" w:hAnsi="Times New Roman"/>
            <w:noProof/>
            <w:sz w:val="24"/>
            <w:szCs w:val="24"/>
          </w:rPr>
          <w:t>1.2.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Dayanak</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_Toc64755901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w:t>
        </w:r>
        <w:r w:rsidR="00E4115B" w:rsidRPr="00E4115B">
          <w:rPr>
            <w:rFonts w:ascii="Times New Roman" w:hAnsi="Times New Roman"/>
            <w:noProof/>
            <w:webHidden/>
            <w:sz w:val="24"/>
            <w:szCs w:val="24"/>
          </w:rPr>
          <w:fldChar w:fldCharType="end"/>
        </w:r>
      </w:hyperlink>
    </w:p>
    <w:p w14:paraId="06A72D72" w14:textId="56F86ADC" w:rsidR="00E4115B" w:rsidRPr="00E4115B" w:rsidRDefault="00F92C1E">
      <w:pPr>
        <w:pStyle w:val="T1"/>
        <w:tabs>
          <w:tab w:val="left" w:pos="440"/>
          <w:tab w:val="right" w:leader="dot" w:pos="9062"/>
        </w:tabs>
        <w:rPr>
          <w:rFonts w:ascii="Times New Roman" w:hAnsi="Times New Roman"/>
          <w:noProof/>
          <w:sz w:val="24"/>
          <w:szCs w:val="24"/>
        </w:rPr>
      </w:pPr>
      <w:hyperlink w:anchor="_Toc64755902" w:history="1">
        <w:r w:rsidR="00E4115B" w:rsidRPr="00E4115B">
          <w:rPr>
            <w:rStyle w:val="Kpr"/>
            <w:rFonts w:ascii="Times New Roman" w:hAnsi="Times New Roman"/>
            <w:noProof/>
            <w:sz w:val="24"/>
            <w:szCs w:val="24"/>
          </w:rPr>
          <w:t>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TANIMLAR VE KISALTMALAR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_Toc64755902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w:t>
        </w:r>
        <w:r w:rsidR="00E4115B" w:rsidRPr="00E4115B">
          <w:rPr>
            <w:rFonts w:ascii="Times New Roman" w:hAnsi="Times New Roman"/>
            <w:noProof/>
            <w:webHidden/>
            <w:sz w:val="24"/>
            <w:szCs w:val="24"/>
          </w:rPr>
          <w:fldChar w:fldCharType="end"/>
        </w:r>
      </w:hyperlink>
    </w:p>
    <w:p w14:paraId="56872423" w14:textId="0BEE9F5A" w:rsidR="00E4115B" w:rsidRPr="00E4115B" w:rsidRDefault="00F92C1E">
      <w:pPr>
        <w:pStyle w:val="T1"/>
        <w:tabs>
          <w:tab w:val="left" w:pos="440"/>
          <w:tab w:val="right" w:leader="dot" w:pos="9062"/>
        </w:tabs>
        <w:rPr>
          <w:rFonts w:ascii="Times New Roman" w:hAnsi="Times New Roman"/>
          <w:noProof/>
          <w:sz w:val="24"/>
          <w:szCs w:val="24"/>
        </w:rPr>
      </w:pPr>
      <w:hyperlink w:anchor="_Toc64755905" w:history="1">
        <w:r w:rsidR="00E4115B" w:rsidRPr="00E4115B">
          <w:rPr>
            <w:rStyle w:val="Kpr"/>
            <w:rFonts w:ascii="Times New Roman" w:hAnsi="Times New Roman"/>
            <w:noProof/>
            <w:sz w:val="24"/>
            <w:szCs w:val="24"/>
          </w:rPr>
          <w:t>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GENEL HÜKÜMLER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_Toc64755905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6</w:t>
        </w:r>
        <w:r w:rsidR="00E4115B" w:rsidRPr="00E4115B">
          <w:rPr>
            <w:rFonts w:ascii="Times New Roman" w:hAnsi="Times New Roman"/>
            <w:noProof/>
            <w:webHidden/>
            <w:sz w:val="24"/>
            <w:szCs w:val="24"/>
          </w:rPr>
          <w:fldChar w:fldCharType="end"/>
        </w:r>
      </w:hyperlink>
    </w:p>
    <w:p w14:paraId="1982359F" w14:textId="043AB0B7" w:rsidR="00E4115B" w:rsidRPr="00E4115B" w:rsidRDefault="00F92C1E">
      <w:pPr>
        <w:pStyle w:val="T2"/>
        <w:tabs>
          <w:tab w:val="left" w:pos="880"/>
          <w:tab w:val="right" w:leader="dot" w:pos="9062"/>
        </w:tabs>
        <w:rPr>
          <w:rFonts w:ascii="Times New Roman" w:hAnsi="Times New Roman"/>
          <w:noProof/>
          <w:sz w:val="24"/>
          <w:szCs w:val="24"/>
        </w:rPr>
      </w:pPr>
      <w:hyperlink w:anchor="_Toc64755907" w:history="1">
        <w:r w:rsidR="00E4115B" w:rsidRPr="00E4115B">
          <w:rPr>
            <w:rStyle w:val="Kpr"/>
            <w:rFonts w:ascii="Times New Roman" w:hAnsi="Times New Roman"/>
            <w:noProof/>
            <w:sz w:val="24"/>
            <w:szCs w:val="24"/>
          </w:rPr>
          <w:t>3.1.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VGP’ye İlişkin Genel Esaslar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_Toc64755907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6</w:t>
        </w:r>
        <w:r w:rsidR="00E4115B" w:rsidRPr="00E4115B">
          <w:rPr>
            <w:rFonts w:ascii="Times New Roman" w:hAnsi="Times New Roman"/>
            <w:noProof/>
            <w:webHidden/>
            <w:sz w:val="24"/>
            <w:szCs w:val="24"/>
          </w:rPr>
          <w:fldChar w:fldCharType="end"/>
        </w:r>
      </w:hyperlink>
    </w:p>
    <w:p w14:paraId="334FE59C" w14:textId="6600BD8A" w:rsidR="00E4115B" w:rsidRPr="00E4115B" w:rsidRDefault="00F92C1E">
      <w:pPr>
        <w:pStyle w:val="T1"/>
        <w:tabs>
          <w:tab w:val="left" w:pos="440"/>
          <w:tab w:val="right" w:leader="dot" w:pos="9062"/>
        </w:tabs>
        <w:rPr>
          <w:rFonts w:ascii="Times New Roman" w:hAnsi="Times New Roman"/>
          <w:noProof/>
          <w:sz w:val="24"/>
          <w:szCs w:val="24"/>
        </w:rPr>
      </w:pPr>
      <w:hyperlink w:anchor="_Toc64755908" w:history="1">
        <w:r w:rsidR="00E4115B" w:rsidRPr="00E4115B">
          <w:rPr>
            <w:rStyle w:val="Kpr"/>
            <w:rFonts w:ascii="Times New Roman" w:hAnsi="Times New Roman"/>
            <w:noProof/>
            <w:sz w:val="24"/>
            <w:szCs w:val="24"/>
          </w:rPr>
          <w:t>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TARAFLAR, GÖREV, YETKİ ve SORUMLULUKLAR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_Toc64755908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7</w:t>
        </w:r>
        <w:r w:rsidR="00E4115B" w:rsidRPr="00E4115B">
          <w:rPr>
            <w:rFonts w:ascii="Times New Roman" w:hAnsi="Times New Roman"/>
            <w:noProof/>
            <w:webHidden/>
            <w:sz w:val="24"/>
            <w:szCs w:val="24"/>
          </w:rPr>
          <w:fldChar w:fldCharType="end"/>
        </w:r>
      </w:hyperlink>
    </w:p>
    <w:p w14:paraId="1B286B24" w14:textId="1B0AF2A2" w:rsidR="00E4115B" w:rsidRPr="00E4115B" w:rsidRDefault="00F92C1E">
      <w:pPr>
        <w:pStyle w:val="T2"/>
        <w:tabs>
          <w:tab w:val="left" w:pos="880"/>
          <w:tab w:val="right" w:leader="dot" w:pos="9062"/>
        </w:tabs>
        <w:rPr>
          <w:rFonts w:ascii="Times New Roman" w:hAnsi="Times New Roman"/>
          <w:noProof/>
          <w:sz w:val="24"/>
          <w:szCs w:val="24"/>
        </w:rPr>
      </w:pPr>
      <w:hyperlink w:anchor="_Toc64755910" w:history="1">
        <w:r w:rsidR="00E4115B" w:rsidRPr="00E4115B">
          <w:rPr>
            <w:rStyle w:val="Kpr"/>
            <w:rFonts w:ascii="Times New Roman" w:hAnsi="Times New Roman"/>
            <w:noProof/>
            <w:sz w:val="24"/>
            <w:szCs w:val="24"/>
          </w:rPr>
          <w:t>4.1.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 Katılımcılarının Sorumlulukları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7</w:t>
        </w:r>
        <w:r w:rsidR="00E4115B" w:rsidRPr="00E4115B">
          <w:rPr>
            <w:rFonts w:ascii="Times New Roman" w:hAnsi="Times New Roman"/>
            <w:noProof/>
            <w:webHidden/>
            <w:sz w:val="24"/>
            <w:szCs w:val="24"/>
          </w:rPr>
          <w:fldChar w:fldCharType="end"/>
        </w:r>
      </w:hyperlink>
    </w:p>
    <w:p w14:paraId="78A2F2E8" w14:textId="544D8C05" w:rsidR="00E4115B" w:rsidRPr="00E4115B" w:rsidRDefault="00F92C1E">
      <w:pPr>
        <w:pStyle w:val="T2"/>
        <w:tabs>
          <w:tab w:val="left" w:pos="880"/>
          <w:tab w:val="right" w:leader="dot" w:pos="9062"/>
        </w:tabs>
        <w:rPr>
          <w:rFonts w:ascii="Times New Roman" w:hAnsi="Times New Roman"/>
          <w:noProof/>
          <w:sz w:val="24"/>
          <w:szCs w:val="24"/>
        </w:rPr>
      </w:pPr>
      <w:hyperlink w:anchor="_Toc64755911" w:history="1">
        <w:r w:rsidR="00E4115B" w:rsidRPr="00E4115B">
          <w:rPr>
            <w:rStyle w:val="Kpr"/>
            <w:rFonts w:ascii="Times New Roman" w:hAnsi="Times New Roman"/>
            <w:noProof/>
            <w:sz w:val="24"/>
            <w:szCs w:val="24"/>
          </w:rPr>
          <w:t>4.2.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 İşletmecisinin Sorumlulukları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8</w:t>
        </w:r>
        <w:r w:rsidR="00E4115B" w:rsidRPr="00E4115B">
          <w:rPr>
            <w:rFonts w:ascii="Times New Roman" w:hAnsi="Times New Roman"/>
            <w:noProof/>
            <w:webHidden/>
            <w:sz w:val="24"/>
            <w:szCs w:val="24"/>
          </w:rPr>
          <w:fldChar w:fldCharType="end"/>
        </w:r>
      </w:hyperlink>
    </w:p>
    <w:p w14:paraId="1E4D9C47" w14:textId="5C447A96" w:rsidR="00E4115B" w:rsidRPr="00E4115B" w:rsidRDefault="00F92C1E">
      <w:pPr>
        <w:pStyle w:val="T1"/>
        <w:tabs>
          <w:tab w:val="left" w:pos="440"/>
          <w:tab w:val="right" w:leader="dot" w:pos="9062"/>
        </w:tabs>
        <w:rPr>
          <w:rFonts w:ascii="Times New Roman" w:hAnsi="Times New Roman"/>
          <w:noProof/>
          <w:sz w:val="24"/>
          <w:szCs w:val="24"/>
        </w:rPr>
      </w:pPr>
      <w:hyperlink w:anchor="_Toc64755912" w:history="1">
        <w:r w:rsidR="00E4115B" w:rsidRPr="00E4115B">
          <w:rPr>
            <w:rStyle w:val="Kpr"/>
            <w:rFonts w:ascii="Times New Roman" w:hAnsi="Times New Roman"/>
            <w:noProof/>
            <w:sz w:val="24"/>
            <w:szCs w:val="24"/>
          </w:rPr>
          <w:t>5.</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 KATILIMCILARININ KAYIT İŞLEMLERİNE İLİŞKİN HÜKÜMLER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8</w:t>
        </w:r>
        <w:r w:rsidR="00E4115B" w:rsidRPr="00E4115B">
          <w:rPr>
            <w:rFonts w:ascii="Times New Roman" w:hAnsi="Times New Roman"/>
            <w:noProof/>
            <w:webHidden/>
            <w:sz w:val="24"/>
            <w:szCs w:val="24"/>
          </w:rPr>
          <w:fldChar w:fldCharType="end"/>
        </w:r>
      </w:hyperlink>
    </w:p>
    <w:p w14:paraId="22711C26" w14:textId="3C25B213" w:rsidR="00E4115B" w:rsidRPr="00E4115B" w:rsidRDefault="00F92C1E">
      <w:pPr>
        <w:pStyle w:val="T2"/>
        <w:tabs>
          <w:tab w:val="left" w:pos="880"/>
          <w:tab w:val="right" w:leader="dot" w:pos="9062"/>
        </w:tabs>
        <w:rPr>
          <w:rFonts w:ascii="Times New Roman" w:hAnsi="Times New Roman"/>
          <w:noProof/>
          <w:sz w:val="24"/>
          <w:szCs w:val="24"/>
        </w:rPr>
      </w:pPr>
      <w:hyperlink w:anchor="_Toc64755914" w:history="1">
        <w:r w:rsidR="00E4115B" w:rsidRPr="00E4115B">
          <w:rPr>
            <w:rStyle w:val="Kpr"/>
            <w:rFonts w:ascii="Times New Roman" w:hAnsi="Times New Roman"/>
            <w:noProof/>
            <w:sz w:val="24"/>
            <w:szCs w:val="24"/>
          </w:rPr>
          <w:t>5.1.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Kayıt Başvurusu ve Değerlendirilmesi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8</w:t>
        </w:r>
        <w:r w:rsidR="00E4115B" w:rsidRPr="00E4115B">
          <w:rPr>
            <w:rFonts w:ascii="Times New Roman" w:hAnsi="Times New Roman"/>
            <w:noProof/>
            <w:webHidden/>
            <w:sz w:val="24"/>
            <w:szCs w:val="24"/>
          </w:rPr>
          <w:fldChar w:fldCharType="end"/>
        </w:r>
      </w:hyperlink>
    </w:p>
    <w:p w14:paraId="685194CD" w14:textId="21F243B0" w:rsidR="00E4115B" w:rsidRPr="00E4115B" w:rsidRDefault="00F92C1E">
      <w:pPr>
        <w:pStyle w:val="T2"/>
        <w:tabs>
          <w:tab w:val="left" w:pos="880"/>
          <w:tab w:val="right" w:leader="dot" w:pos="9062"/>
        </w:tabs>
        <w:rPr>
          <w:rFonts w:ascii="Times New Roman" w:hAnsi="Times New Roman"/>
          <w:noProof/>
          <w:sz w:val="24"/>
          <w:szCs w:val="24"/>
        </w:rPr>
      </w:pPr>
      <w:hyperlink w:anchor="_Toc64755915" w:history="1">
        <w:r w:rsidR="00E4115B" w:rsidRPr="00E4115B">
          <w:rPr>
            <w:rStyle w:val="Kpr"/>
            <w:rFonts w:ascii="Times New Roman" w:hAnsi="Times New Roman"/>
            <w:noProof/>
            <w:sz w:val="24"/>
            <w:szCs w:val="24"/>
          </w:rPr>
          <w:t>5.2.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 Katılımcısının Piyasaya Erişiminin Askıya Alınması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8</w:t>
        </w:r>
        <w:r w:rsidR="00E4115B" w:rsidRPr="00E4115B">
          <w:rPr>
            <w:rFonts w:ascii="Times New Roman" w:hAnsi="Times New Roman"/>
            <w:noProof/>
            <w:webHidden/>
            <w:sz w:val="24"/>
            <w:szCs w:val="24"/>
          </w:rPr>
          <w:fldChar w:fldCharType="end"/>
        </w:r>
      </w:hyperlink>
    </w:p>
    <w:p w14:paraId="1CC662C1" w14:textId="45F0891E" w:rsidR="00E4115B" w:rsidRPr="00E4115B" w:rsidRDefault="00F92C1E">
      <w:pPr>
        <w:pStyle w:val="T2"/>
        <w:tabs>
          <w:tab w:val="left" w:pos="880"/>
          <w:tab w:val="right" w:leader="dot" w:pos="9062"/>
        </w:tabs>
        <w:rPr>
          <w:rFonts w:ascii="Times New Roman" w:hAnsi="Times New Roman"/>
          <w:noProof/>
          <w:sz w:val="24"/>
          <w:szCs w:val="24"/>
        </w:rPr>
      </w:pPr>
      <w:hyperlink w:anchor="_Toc64755916" w:history="1">
        <w:r w:rsidR="00E4115B" w:rsidRPr="00E4115B">
          <w:rPr>
            <w:rStyle w:val="Kpr"/>
            <w:rFonts w:ascii="Times New Roman" w:hAnsi="Times New Roman"/>
            <w:noProof/>
            <w:sz w:val="24"/>
            <w:szCs w:val="24"/>
          </w:rPr>
          <w:t>5.3.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 Katılımcısı Statüsünün Sona Ermesi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9</w:t>
        </w:r>
        <w:r w:rsidR="00E4115B" w:rsidRPr="00E4115B">
          <w:rPr>
            <w:rFonts w:ascii="Times New Roman" w:hAnsi="Times New Roman"/>
            <w:noProof/>
            <w:webHidden/>
            <w:sz w:val="24"/>
            <w:szCs w:val="24"/>
          </w:rPr>
          <w:fldChar w:fldCharType="end"/>
        </w:r>
      </w:hyperlink>
    </w:p>
    <w:p w14:paraId="01C73745" w14:textId="3A52C427" w:rsidR="00E4115B" w:rsidRPr="00E4115B" w:rsidRDefault="00F92C1E">
      <w:pPr>
        <w:pStyle w:val="T1"/>
        <w:tabs>
          <w:tab w:val="left" w:pos="440"/>
          <w:tab w:val="right" w:leader="dot" w:pos="9062"/>
        </w:tabs>
        <w:rPr>
          <w:rFonts w:ascii="Times New Roman" w:hAnsi="Times New Roman"/>
          <w:noProof/>
          <w:sz w:val="24"/>
          <w:szCs w:val="24"/>
        </w:rPr>
      </w:pPr>
      <w:hyperlink w:anchor="_Toc64755917" w:history="1">
        <w:r w:rsidR="00E4115B" w:rsidRPr="00E4115B">
          <w:rPr>
            <w:rStyle w:val="Kpr"/>
            <w:rFonts w:ascii="Times New Roman" w:hAnsi="Times New Roman"/>
            <w:noProof/>
            <w:sz w:val="24"/>
            <w:szCs w:val="24"/>
          </w:rPr>
          <w:t>6.</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KONTRATLAR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9</w:t>
        </w:r>
        <w:r w:rsidR="00E4115B" w:rsidRPr="00E4115B">
          <w:rPr>
            <w:rFonts w:ascii="Times New Roman" w:hAnsi="Times New Roman"/>
            <w:noProof/>
            <w:webHidden/>
            <w:sz w:val="24"/>
            <w:szCs w:val="24"/>
          </w:rPr>
          <w:fldChar w:fldCharType="end"/>
        </w:r>
      </w:hyperlink>
    </w:p>
    <w:p w14:paraId="52A00B89" w14:textId="5547B6B0" w:rsidR="00E4115B" w:rsidRPr="00E4115B" w:rsidRDefault="00F92C1E">
      <w:pPr>
        <w:pStyle w:val="T2"/>
        <w:tabs>
          <w:tab w:val="left" w:pos="880"/>
          <w:tab w:val="right" w:leader="dot" w:pos="9062"/>
        </w:tabs>
        <w:rPr>
          <w:rFonts w:ascii="Times New Roman" w:hAnsi="Times New Roman"/>
          <w:noProof/>
          <w:sz w:val="24"/>
          <w:szCs w:val="24"/>
        </w:rPr>
      </w:pPr>
      <w:hyperlink w:anchor="_Toc64755919" w:history="1">
        <w:r w:rsidR="00E4115B" w:rsidRPr="00E4115B">
          <w:rPr>
            <w:rStyle w:val="Kpr"/>
            <w:rFonts w:ascii="Times New Roman" w:hAnsi="Times New Roman"/>
            <w:noProof/>
            <w:sz w:val="24"/>
            <w:szCs w:val="24"/>
          </w:rPr>
          <w:t>6.1.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Kontratlar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9</w:t>
        </w:r>
        <w:r w:rsidR="00E4115B" w:rsidRPr="00E4115B">
          <w:rPr>
            <w:rFonts w:ascii="Times New Roman" w:hAnsi="Times New Roman"/>
            <w:noProof/>
            <w:webHidden/>
            <w:sz w:val="24"/>
            <w:szCs w:val="24"/>
          </w:rPr>
          <w:fldChar w:fldCharType="end"/>
        </w:r>
      </w:hyperlink>
    </w:p>
    <w:p w14:paraId="60E76CD3" w14:textId="7C35D755" w:rsidR="00E4115B" w:rsidRPr="00E4115B" w:rsidRDefault="00F92C1E">
      <w:pPr>
        <w:pStyle w:val="T2"/>
        <w:tabs>
          <w:tab w:val="left" w:pos="880"/>
          <w:tab w:val="right" w:leader="dot" w:pos="9062"/>
        </w:tabs>
        <w:rPr>
          <w:rFonts w:ascii="Times New Roman" w:hAnsi="Times New Roman"/>
          <w:noProof/>
          <w:sz w:val="24"/>
          <w:szCs w:val="24"/>
        </w:rPr>
      </w:pPr>
      <w:hyperlink w:anchor="_Toc64755920" w:history="1">
        <w:r w:rsidR="00E4115B" w:rsidRPr="00E4115B">
          <w:rPr>
            <w:rStyle w:val="Kpr"/>
            <w:rFonts w:ascii="Times New Roman" w:hAnsi="Times New Roman"/>
            <w:noProof/>
            <w:sz w:val="24"/>
            <w:szCs w:val="24"/>
          </w:rPr>
          <w:t>6.2.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Teslimat Dönemi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9</w:t>
        </w:r>
        <w:r w:rsidR="00E4115B" w:rsidRPr="00E4115B">
          <w:rPr>
            <w:rFonts w:ascii="Times New Roman" w:hAnsi="Times New Roman"/>
            <w:noProof/>
            <w:webHidden/>
            <w:sz w:val="24"/>
            <w:szCs w:val="24"/>
          </w:rPr>
          <w:fldChar w:fldCharType="end"/>
        </w:r>
      </w:hyperlink>
    </w:p>
    <w:p w14:paraId="2946B445" w14:textId="7275E673" w:rsidR="00E4115B" w:rsidRPr="00E4115B" w:rsidRDefault="00F92C1E">
      <w:pPr>
        <w:pStyle w:val="T2"/>
        <w:tabs>
          <w:tab w:val="left" w:pos="880"/>
          <w:tab w:val="right" w:leader="dot" w:pos="9062"/>
        </w:tabs>
        <w:rPr>
          <w:rFonts w:ascii="Times New Roman" w:hAnsi="Times New Roman"/>
          <w:noProof/>
          <w:sz w:val="24"/>
          <w:szCs w:val="24"/>
        </w:rPr>
      </w:pPr>
      <w:hyperlink w:anchor="_Toc64755921" w:history="1">
        <w:r w:rsidR="00E4115B" w:rsidRPr="00E4115B">
          <w:rPr>
            <w:rStyle w:val="Kpr"/>
            <w:rFonts w:ascii="Times New Roman" w:hAnsi="Times New Roman"/>
            <w:noProof/>
            <w:sz w:val="24"/>
            <w:szCs w:val="24"/>
          </w:rPr>
          <w:t>6.3.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Kontratların Basamaklandırılması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10</w:t>
        </w:r>
        <w:r w:rsidR="00E4115B" w:rsidRPr="00E4115B">
          <w:rPr>
            <w:rFonts w:ascii="Times New Roman" w:hAnsi="Times New Roman"/>
            <w:noProof/>
            <w:webHidden/>
            <w:sz w:val="24"/>
            <w:szCs w:val="24"/>
          </w:rPr>
          <w:fldChar w:fldCharType="end"/>
        </w:r>
      </w:hyperlink>
    </w:p>
    <w:p w14:paraId="187E77D6" w14:textId="70CEC7DD" w:rsidR="00E4115B" w:rsidRPr="00E4115B" w:rsidRDefault="00F92C1E">
      <w:pPr>
        <w:pStyle w:val="T2"/>
        <w:tabs>
          <w:tab w:val="left" w:pos="880"/>
          <w:tab w:val="right" w:leader="dot" w:pos="9062"/>
        </w:tabs>
        <w:rPr>
          <w:rFonts w:ascii="Times New Roman" w:hAnsi="Times New Roman"/>
          <w:noProof/>
          <w:sz w:val="24"/>
          <w:szCs w:val="24"/>
        </w:rPr>
      </w:pPr>
      <w:hyperlink w:anchor="_Toc64755922" w:history="1">
        <w:r w:rsidR="00E4115B" w:rsidRPr="00E4115B">
          <w:rPr>
            <w:rStyle w:val="Kpr"/>
            <w:rFonts w:ascii="Times New Roman" w:hAnsi="Times New Roman"/>
            <w:noProof/>
            <w:sz w:val="24"/>
            <w:szCs w:val="24"/>
          </w:rPr>
          <w:t>6.4.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Kontratların Askıya Alınması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11</w:t>
        </w:r>
        <w:r w:rsidR="00E4115B" w:rsidRPr="00E4115B">
          <w:rPr>
            <w:rFonts w:ascii="Times New Roman" w:hAnsi="Times New Roman"/>
            <w:noProof/>
            <w:webHidden/>
            <w:sz w:val="24"/>
            <w:szCs w:val="24"/>
          </w:rPr>
          <w:fldChar w:fldCharType="end"/>
        </w:r>
      </w:hyperlink>
    </w:p>
    <w:p w14:paraId="46C80C22" w14:textId="044F7821" w:rsidR="00E4115B" w:rsidRPr="00E4115B" w:rsidRDefault="00F92C1E">
      <w:pPr>
        <w:pStyle w:val="T1"/>
        <w:tabs>
          <w:tab w:val="left" w:pos="440"/>
          <w:tab w:val="right" w:leader="dot" w:pos="9062"/>
        </w:tabs>
        <w:rPr>
          <w:rFonts w:ascii="Times New Roman" w:hAnsi="Times New Roman"/>
          <w:noProof/>
          <w:sz w:val="24"/>
          <w:szCs w:val="24"/>
        </w:rPr>
      </w:pPr>
      <w:hyperlink w:anchor="_Toc64755923" w:history="1">
        <w:r w:rsidR="00E4115B" w:rsidRPr="00E4115B">
          <w:rPr>
            <w:rStyle w:val="Kpr"/>
            <w:rFonts w:ascii="Times New Roman" w:hAnsi="Times New Roman"/>
            <w:noProof/>
            <w:sz w:val="24"/>
            <w:szCs w:val="24"/>
          </w:rPr>
          <w:t>7.</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GÜNLÜK İŞ AKIŞI, SEANSLAR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_Toc64755923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11</w:t>
        </w:r>
        <w:r w:rsidR="00E4115B" w:rsidRPr="00E4115B">
          <w:rPr>
            <w:rFonts w:ascii="Times New Roman" w:hAnsi="Times New Roman"/>
            <w:noProof/>
            <w:webHidden/>
            <w:sz w:val="24"/>
            <w:szCs w:val="24"/>
          </w:rPr>
          <w:fldChar w:fldCharType="end"/>
        </w:r>
      </w:hyperlink>
    </w:p>
    <w:p w14:paraId="03864175" w14:textId="2402FB6A" w:rsidR="00E4115B" w:rsidRPr="00E4115B" w:rsidRDefault="00F92C1E">
      <w:pPr>
        <w:pStyle w:val="T2"/>
        <w:tabs>
          <w:tab w:val="left" w:pos="880"/>
          <w:tab w:val="right" w:leader="dot" w:pos="9062"/>
        </w:tabs>
        <w:rPr>
          <w:rFonts w:ascii="Times New Roman" w:hAnsi="Times New Roman"/>
          <w:noProof/>
          <w:sz w:val="24"/>
          <w:szCs w:val="24"/>
        </w:rPr>
      </w:pPr>
      <w:hyperlink w:anchor="_Toc64755925" w:history="1">
        <w:r w:rsidR="00E4115B" w:rsidRPr="00E4115B">
          <w:rPr>
            <w:rStyle w:val="Kpr"/>
            <w:rFonts w:ascii="Times New Roman" w:hAnsi="Times New Roman"/>
            <w:noProof/>
            <w:sz w:val="24"/>
            <w:szCs w:val="24"/>
          </w:rPr>
          <w:t>7.1.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Günlük İş Akış Süreçleri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11</w:t>
        </w:r>
        <w:r w:rsidR="00E4115B" w:rsidRPr="00E4115B">
          <w:rPr>
            <w:rFonts w:ascii="Times New Roman" w:hAnsi="Times New Roman"/>
            <w:noProof/>
            <w:webHidden/>
            <w:sz w:val="24"/>
            <w:szCs w:val="24"/>
          </w:rPr>
          <w:fldChar w:fldCharType="end"/>
        </w:r>
      </w:hyperlink>
    </w:p>
    <w:p w14:paraId="5089D575" w14:textId="748364BF" w:rsidR="00E4115B" w:rsidRPr="00E4115B" w:rsidRDefault="00F92C1E">
      <w:pPr>
        <w:pStyle w:val="T2"/>
        <w:tabs>
          <w:tab w:val="left" w:pos="880"/>
          <w:tab w:val="right" w:leader="dot" w:pos="9062"/>
        </w:tabs>
        <w:rPr>
          <w:rFonts w:ascii="Times New Roman" w:hAnsi="Times New Roman"/>
          <w:noProof/>
          <w:sz w:val="24"/>
          <w:szCs w:val="24"/>
        </w:rPr>
      </w:pPr>
      <w:hyperlink w:anchor="_Toc64755926" w:history="1">
        <w:r w:rsidR="00E4115B" w:rsidRPr="00E4115B">
          <w:rPr>
            <w:rStyle w:val="Kpr"/>
            <w:rFonts w:ascii="Times New Roman" w:hAnsi="Times New Roman"/>
            <w:noProof/>
            <w:sz w:val="24"/>
            <w:szCs w:val="24"/>
          </w:rPr>
          <w:t>7.2.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Seans Öncesi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12</w:t>
        </w:r>
        <w:r w:rsidR="00E4115B" w:rsidRPr="00E4115B">
          <w:rPr>
            <w:rFonts w:ascii="Times New Roman" w:hAnsi="Times New Roman"/>
            <w:noProof/>
            <w:webHidden/>
            <w:sz w:val="24"/>
            <w:szCs w:val="24"/>
          </w:rPr>
          <w:fldChar w:fldCharType="end"/>
        </w:r>
      </w:hyperlink>
    </w:p>
    <w:p w14:paraId="52CECCEF" w14:textId="3D194DC7" w:rsidR="00E4115B" w:rsidRPr="00E4115B" w:rsidRDefault="00F92C1E">
      <w:pPr>
        <w:pStyle w:val="T2"/>
        <w:tabs>
          <w:tab w:val="left" w:pos="880"/>
          <w:tab w:val="right" w:leader="dot" w:pos="9062"/>
        </w:tabs>
        <w:rPr>
          <w:rFonts w:ascii="Times New Roman" w:hAnsi="Times New Roman"/>
          <w:noProof/>
          <w:sz w:val="24"/>
          <w:szCs w:val="24"/>
        </w:rPr>
      </w:pPr>
      <w:hyperlink w:anchor="_Toc64755927" w:history="1">
        <w:r w:rsidR="00E4115B" w:rsidRPr="00E4115B">
          <w:rPr>
            <w:rStyle w:val="Kpr"/>
            <w:rFonts w:ascii="Times New Roman" w:hAnsi="Times New Roman"/>
            <w:noProof/>
            <w:sz w:val="24"/>
            <w:szCs w:val="24"/>
          </w:rPr>
          <w:t>7.3.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Seans</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12</w:t>
        </w:r>
        <w:r w:rsidR="00E4115B" w:rsidRPr="00E4115B">
          <w:rPr>
            <w:rFonts w:ascii="Times New Roman" w:hAnsi="Times New Roman"/>
            <w:noProof/>
            <w:webHidden/>
            <w:sz w:val="24"/>
            <w:szCs w:val="24"/>
          </w:rPr>
          <w:fldChar w:fldCharType="end"/>
        </w:r>
      </w:hyperlink>
    </w:p>
    <w:p w14:paraId="6298C816" w14:textId="68695FAD" w:rsidR="00E4115B" w:rsidRPr="00E4115B" w:rsidRDefault="00F92C1E">
      <w:pPr>
        <w:pStyle w:val="T2"/>
        <w:tabs>
          <w:tab w:val="left" w:pos="880"/>
          <w:tab w:val="right" w:leader="dot" w:pos="9062"/>
        </w:tabs>
        <w:rPr>
          <w:rFonts w:ascii="Times New Roman" w:hAnsi="Times New Roman"/>
          <w:noProof/>
          <w:sz w:val="24"/>
          <w:szCs w:val="24"/>
        </w:rPr>
      </w:pPr>
      <w:hyperlink w:anchor="_Toc64755928" w:history="1">
        <w:r w:rsidR="00E4115B" w:rsidRPr="00E4115B">
          <w:rPr>
            <w:rStyle w:val="Kpr"/>
            <w:rFonts w:ascii="Times New Roman" w:hAnsi="Times New Roman"/>
            <w:noProof/>
            <w:sz w:val="24"/>
            <w:szCs w:val="24"/>
          </w:rPr>
          <w:t>7.4.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Seans Sonrası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12</w:t>
        </w:r>
        <w:r w:rsidR="00E4115B" w:rsidRPr="00E4115B">
          <w:rPr>
            <w:rFonts w:ascii="Times New Roman" w:hAnsi="Times New Roman"/>
            <w:noProof/>
            <w:webHidden/>
            <w:sz w:val="24"/>
            <w:szCs w:val="24"/>
          </w:rPr>
          <w:fldChar w:fldCharType="end"/>
        </w:r>
      </w:hyperlink>
    </w:p>
    <w:p w14:paraId="1A40D6FA" w14:textId="656ABDF6" w:rsidR="00E4115B" w:rsidRPr="00E4115B" w:rsidRDefault="00F92C1E">
      <w:pPr>
        <w:pStyle w:val="T2"/>
        <w:tabs>
          <w:tab w:val="left" w:pos="880"/>
          <w:tab w:val="right" w:leader="dot" w:pos="9062"/>
        </w:tabs>
        <w:rPr>
          <w:rFonts w:ascii="Times New Roman" w:hAnsi="Times New Roman"/>
          <w:noProof/>
          <w:sz w:val="24"/>
          <w:szCs w:val="24"/>
        </w:rPr>
      </w:pPr>
      <w:hyperlink w:anchor="_Toc64755929" w:history="1">
        <w:r w:rsidR="00E4115B" w:rsidRPr="00E4115B">
          <w:rPr>
            <w:rStyle w:val="Kpr"/>
            <w:rFonts w:ascii="Times New Roman" w:hAnsi="Times New Roman"/>
            <w:noProof/>
            <w:sz w:val="24"/>
            <w:szCs w:val="24"/>
          </w:rPr>
          <w:t>7.5.</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Günlük Gösterge Fiyatının İlan Süreci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13</w:t>
        </w:r>
        <w:r w:rsidR="00E4115B" w:rsidRPr="00E4115B">
          <w:rPr>
            <w:rFonts w:ascii="Times New Roman" w:hAnsi="Times New Roman"/>
            <w:noProof/>
            <w:webHidden/>
            <w:sz w:val="24"/>
            <w:szCs w:val="24"/>
          </w:rPr>
          <w:fldChar w:fldCharType="end"/>
        </w:r>
      </w:hyperlink>
    </w:p>
    <w:p w14:paraId="4483E646" w14:textId="540964D9" w:rsidR="00E4115B" w:rsidRPr="00E4115B" w:rsidRDefault="00F92C1E">
      <w:pPr>
        <w:pStyle w:val="T2"/>
        <w:tabs>
          <w:tab w:val="left" w:pos="880"/>
          <w:tab w:val="right" w:leader="dot" w:pos="9062"/>
        </w:tabs>
        <w:rPr>
          <w:rFonts w:ascii="Times New Roman" w:hAnsi="Times New Roman"/>
          <w:noProof/>
          <w:sz w:val="24"/>
          <w:szCs w:val="24"/>
        </w:rPr>
      </w:pPr>
      <w:hyperlink w:anchor="_Toc64755930" w:history="1">
        <w:r w:rsidR="00E4115B" w:rsidRPr="00E4115B">
          <w:rPr>
            <w:rStyle w:val="Kpr"/>
            <w:rFonts w:ascii="Times New Roman" w:hAnsi="Times New Roman"/>
            <w:noProof/>
            <w:sz w:val="24"/>
            <w:szCs w:val="24"/>
          </w:rPr>
          <w:t>7.6.</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Gün Sonu İşlemleri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13</w:t>
        </w:r>
        <w:r w:rsidR="00E4115B" w:rsidRPr="00E4115B">
          <w:rPr>
            <w:rFonts w:ascii="Times New Roman" w:hAnsi="Times New Roman"/>
            <w:noProof/>
            <w:webHidden/>
            <w:sz w:val="24"/>
            <w:szCs w:val="24"/>
          </w:rPr>
          <w:fldChar w:fldCharType="end"/>
        </w:r>
      </w:hyperlink>
    </w:p>
    <w:p w14:paraId="1325E0C7" w14:textId="3F3BE5F7" w:rsidR="00E4115B" w:rsidRPr="00E4115B" w:rsidRDefault="00F92C1E">
      <w:pPr>
        <w:pStyle w:val="T1"/>
        <w:tabs>
          <w:tab w:val="left" w:pos="440"/>
          <w:tab w:val="right" w:leader="dot" w:pos="9062"/>
        </w:tabs>
        <w:rPr>
          <w:rFonts w:ascii="Times New Roman" w:hAnsi="Times New Roman"/>
          <w:noProof/>
          <w:sz w:val="24"/>
          <w:szCs w:val="24"/>
        </w:rPr>
      </w:pPr>
      <w:hyperlink w:anchor="_Toc64755931" w:history="1">
        <w:r w:rsidR="00E4115B" w:rsidRPr="00E4115B">
          <w:rPr>
            <w:rStyle w:val="Kpr"/>
            <w:rFonts w:ascii="Times New Roman" w:hAnsi="Times New Roman"/>
            <w:noProof/>
            <w:sz w:val="24"/>
            <w:szCs w:val="24"/>
          </w:rPr>
          <w:t>8.</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TEKLİFLER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13</w:t>
        </w:r>
        <w:r w:rsidR="00E4115B" w:rsidRPr="00E4115B">
          <w:rPr>
            <w:rFonts w:ascii="Times New Roman" w:hAnsi="Times New Roman"/>
            <w:noProof/>
            <w:webHidden/>
            <w:sz w:val="24"/>
            <w:szCs w:val="24"/>
          </w:rPr>
          <w:fldChar w:fldCharType="end"/>
        </w:r>
      </w:hyperlink>
    </w:p>
    <w:p w14:paraId="2F2CE180" w14:textId="19AD652A" w:rsidR="00E4115B" w:rsidRPr="00E4115B" w:rsidRDefault="00F92C1E">
      <w:pPr>
        <w:pStyle w:val="T2"/>
        <w:tabs>
          <w:tab w:val="left" w:pos="880"/>
          <w:tab w:val="right" w:leader="dot" w:pos="9062"/>
        </w:tabs>
        <w:rPr>
          <w:rFonts w:ascii="Times New Roman" w:hAnsi="Times New Roman"/>
          <w:noProof/>
          <w:sz w:val="24"/>
          <w:szCs w:val="24"/>
        </w:rPr>
      </w:pPr>
      <w:hyperlink w:anchor="_Toc64755933" w:history="1">
        <w:r w:rsidR="00E4115B" w:rsidRPr="00E4115B">
          <w:rPr>
            <w:rStyle w:val="Kpr"/>
            <w:rFonts w:ascii="Times New Roman" w:hAnsi="Times New Roman"/>
            <w:noProof/>
            <w:sz w:val="24"/>
            <w:szCs w:val="24"/>
          </w:rPr>
          <w:t>8.1.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Tekliflerin Genel Kuralları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_Toc64755933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13</w:t>
        </w:r>
        <w:r w:rsidR="00E4115B" w:rsidRPr="00E4115B">
          <w:rPr>
            <w:rFonts w:ascii="Times New Roman" w:hAnsi="Times New Roman"/>
            <w:noProof/>
            <w:webHidden/>
            <w:sz w:val="24"/>
            <w:szCs w:val="24"/>
          </w:rPr>
          <w:fldChar w:fldCharType="end"/>
        </w:r>
      </w:hyperlink>
    </w:p>
    <w:p w14:paraId="67D3AF9C" w14:textId="4E106795" w:rsidR="00E4115B" w:rsidRPr="00E4115B" w:rsidRDefault="00F92C1E">
      <w:pPr>
        <w:pStyle w:val="T2"/>
        <w:tabs>
          <w:tab w:val="left" w:pos="880"/>
          <w:tab w:val="right" w:leader="dot" w:pos="9062"/>
        </w:tabs>
        <w:rPr>
          <w:rFonts w:ascii="Times New Roman" w:hAnsi="Times New Roman"/>
          <w:noProof/>
          <w:sz w:val="24"/>
          <w:szCs w:val="24"/>
        </w:rPr>
      </w:pPr>
      <w:hyperlink w:anchor="_Toc64755934" w:history="1">
        <w:r w:rsidR="00E4115B" w:rsidRPr="00E4115B">
          <w:rPr>
            <w:rStyle w:val="Kpr"/>
            <w:rFonts w:ascii="Times New Roman" w:hAnsi="Times New Roman"/>
            <w:noProof/>
            <w:sz w:val="24"/>
            <w:szCs w:val="24"/>
          </w:rPr>
          <w:t>8.2.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Tekliflerde Bulunması Zorunlu Hususlar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14</w:t>
        </w:r>
        <w:r w:rsidR="00E4115B" w:rsidRPr="00E4115B">
          <w:rPr>
            <w:rFonts w:ascii="Times New Roman" w:hAnsi="Times New Roman"/>
            <w:noProof/>
            <w:webHidden/>
            <w:sz w:val="24"/>
            <w:szCs w:val="24"/>
          </w:rPr>
          <w:fldChar w:fldCharType="end"/>
        </w:r>
      </w:hyperlink>
    </w:p>
    <w:p w14:paraId="3F04D1C8" w14:textId="7319CB28" w:rsidR="00E4115B" w:rsidRPr="00E4115B" w:rsidRDefault="00F92C1E">
      <w:pPr>
        <w:pStyle w:val="T2"/>
        <w:tabs>
          <w:tab w:val="left" w:pos="880"/>
          <w:tab w:val="right" w:leader="dot" w:pos="9062"/>
        </w:tabs>
        <w:rPr>
          <w:rFonts w:ascii="Times New Roman" w:hAnsi="Times New Roman"/>
          <w:noProof/>
          <w:sz w:val="24"/>
          <w:szCs w:val="24"/>
        </w:rPr>
      </w:pPr>
      <w:hyperlink w:anchor="_Toc64755935" w:history="1">
        <w:r w:rsidR="00E4115B" w:rsidRPr="00E4115B">
          <w:rPr>
            <w:rStyle w:val="Kpr"/>
            <w:rFonts w:ascii="Times New Roman" w:hAnsi="Times New Roman"/>
            <w:noProof/>
            <w:sz w:val="24"/>
            <w:szCs w:val="24"/>
          </w:rPr>
          <w:t>8.3.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Tekliflerin Bildirimi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14</w:t>
        </w:r>
        <w:r w:rsidR="00E4115B" w:rsidRPr="00E4115B">
          <w:rPr>
            <w:rFonts w:ascii="Times New Roman" w:hAnsi="Times New Roman"/>
            <w:noProof/>
            <w:webHidden/>
            <w:sz w:val="24"/>
            <w:szCs w:val="24"/>
          </w:rPr>
          <w:fldChar w:fldCharType="end"/>
        </w:r>
      </w:hyperlink>
    </w:p>
    <w:p w14:paraId="36F0C4E4" w14:textId="1D9E5831" w:rsidR="00E4115B" w:rsidRPr="00E4115B" w:rsidRDefault="00F92C1E">
      <w:pPr>
        <w:pStyle w:val="T2"/>
        <w:tabs>
          <w:tab w:val="left" w:pos="880"/>
          <w:tab w:val="right" w:leader="dot" w:pos="9062"/>
        </w:tabs>
        <w:rPr>
          <w:rFonts w:ascii="Times New Roman" w:hAnsi="Times New Roman"/>
          <w:noProof/>
          <w:sz w:val="24"/>
          <w:szCs w:val="24"/>
        </w:rPr>
      </w:pPr>
      <w:hyperlink w:anchor="_Toc64755936" w:history="1">
        <w:r w:rsidR="00E4115B" w:rsidRPr="00E4115B">
          <w:rPr>
            <w:rStyle w:val="Kpr"/>
            <w:rFonts w:ascii="Times New Roman" w:hAnsi="Times New Roman"/>
            <w:noProof/>
            <w:sz w:val="24"/>
            <w:szCs w:val="24"/>
          </w:rPr>
          <w:t>8.4.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Teklif Tipleri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15</w:t>
        </w:r>
        <w:r w:rsidR="00E4115B" w:rsidRPr="00E4115B">
          <w:rPr>
            <w:rFonts w:ascii="Times New Roman" w:hAnsi="Times New Roman"/>
            <w:noProof/>
            <w:webHidden/>
            <w:sz w:val="24"/>
            <w:szCs w:val="24"/>
          </w:rPr>
          <w:fldChar w:fldCharType="end"/>
        </w:r>
      </w:hyperlink>
    </w:p>
    <w:p w14:paraId="4DBE337F" w14:textId="3B3E2D1D" w:rsidR="00E4115B" w:rsidRPr="00E4115B" w:rsidRDefault="00F92C1E">
      <w:pPr>
        <w:pStyle w:val="T1"/>
        <w:tabs>
          <w:tab w:val="left" w:pos="440"/>
          <w:tab w:val="right" w:leader="dot" w:pos="9062"/>
        </w:tabs>
        <w:rPr>
          <w:rFonts w:ascii="Times New Roman" w:hAnsi="Times New Roman"/>
          <w:noProof/>
          <w:sz w:val="24"/>
          <w:szCs w:val="24"/>
        </w:rPr>
      </w:pPr>
      <w:hyperlink w:anchor="_Toc64755937" w:history="1">
        <w:r w:rsidR="00E4115B" w:rsidRPr="00E4115B">
          <w:rPr>
            <w:rStyle w:val="Kpr"/>
            <w:rFonts w:ascii="Times New Roman" w:hAnsi="Times New Roman"/>
            <w:noProof/>
            <w:sz w:val="24"/>
            <w:szCs w:val="24"/>
          </w:rPr>
          <w:t>9.</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EŞLEŞMELER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15</w:t>
        </w:r>
        <w:r w:rsidR="00E4115B" w:rsidRPr="00E4115B">
          <w:rPr>
            <w:rFonts w:ascii="Times New Roman" w:hAnsi="Times New Roman"/>
            <w:noProof/>
            <w:webHidden/>
            <w:sz w:val="24"/>
            <w:szCs w:val="24"/>
          </w:rPr>
          <w:fldChar w:fldCharType="end"/>
        </w:r>
      </w:hyperlink>
    </w:p>
    <w:p w14:paraId="14CA72B8" w14:textId="791632F8" w:rsidR="00E4115B" w:rsidRPr="00E4115B" w:rsidRDefault="00F92C1E">
      <w:pPr>
        <w:pStyle w:val="T2"/>
        <w:tabs>
          <w:tab w:val="left" w:pos="880"/>
          <w:tab w:val="right" w:leader="dot" w:pos="9062"/>
        </w:tabs>
        <w:rPr>
          <w:rFonts w:ascii="Times New Roman" w:hAnsi="Times New Roman"/>
          <w:noProof/>
          <w:sz w:val="24"/>
          <w:szCs w:val="24"/>
        </w:rPr>
      </w:pPr>
      <w:hyperlink w:anchor="_Toc64755939" w:history="1">
        <w:r w:rsidR="00E4115B" w:rsidRPr="00E4115B">
          <w:rPr>
            <w:rStyle w:val="Kpr"/>
            <w:rFonts w:ascii="Times New Roman" w:hAnsi="Times New Roman"/>
            <w:noProof/>
            <w:sz w:val="24"/>
            <w:szCs w:val="24"/>
          </w:rPr>
          <w:t>9.1.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Tekliflerin Eşleşmesinde Öncelik Kuralları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15</w:t>
        </w:r>
        <w:r w:rsidR="00E4115B" w:rsidRPr="00E4115B">
          <w:rPr>
            <w:rFonts w:ascii="Times New Roman" w:hAnsi="Times New Roman"/>
            <w:noProof/>
            <w:webHidden/>
            <w:sz w:val="24"/>
            <w:szCs w:val="24"/>
          </w:rPr>
          <w:fldChar w:fldCharType="end"/>
        </w:r>
      </w:hyperlink>
    </w:p>
    <w:p w14:paraId="359FBFAE" w14:textId="326BD35B" w:rsidR="00E4115B" w:rsidRPr="00E4115B" w:rsidRDefault="00F92C1E">
      <w:pPr>
        <w:pStyle w:val="T2"/>
        <w:tabs>
          <w:tab w:val="left" w:pos="880"/>
          <w:tab w:val="right" w:leader="dot" w:pos="9062"/>
        </w:tabs>
        <w:rPr>
          <w:rFonts w:ascii="Times New Roman" w:hAnsi="Times New Roman"/>
          <w:noProof/>
          <w:sz w:val="24"/>
          <w:szCs w:val="24"/>
        </w:rPr>
      </w:pPr>
      <w:hyperlink w:anchor="_Toc64755940" w:history="1">
        <w:r w:rsidR="00E4115B" w:rsidRPr="00E4115B">
          <w:rPr>
            <w:rStyle w:val="Kpr"/>
            <w:rFonts w:ascii="Times New Roman" w:hAnsi="Times New Roman"/>
            <w:noProof/>
            <w:sz w:val="24"/>
            <w:szCs w:val="24"/>
          </w:rPr>
          <w:t>9.2.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Alış Tekliflerinde Eşleştirme Kuralları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16</w:t>
        </w:r>
        <w:r w:rsidR="00E4115B" w:rsidRPr="00E4115B">
          <w:rPr>
            <w:rFonts w:ascii="Times New Roman" w:hAnsi="Times New Roman"/>
            <w:noProof/>
            <w:webHidden/>
            <w:sz w:val="24"/>
            <w:szCs w:val="24"/>
          </w:rPr>
          <w:fldChar w:fldCharType="end"/>
        </w:r>
      </w:hyperlink>
    </w:p>
    <w:p w14:paraId="4C8950F3" w14:textId="7CA3CE64" w:rsidR="00E4115B" w:rsidRPr="00E4115B" w:rsidRDefault="00F92C1E">
      <w:pPr>
        <w:pStyle w:val="T2"/>
        <w:tabs>
          <w:tab w:val="left" w:pos="880"/>
          <w:tab w:val="right" w:leader="dot" w:pos="9062"/>
        </w:tabs>
        <w:rPr>
          <w:rFonts w:ascii="Times New Roman" w:hAnsi="Times New Roman"/>
          <w:noProof/>
          <w:sz w:val="24"/>
          <w:szCs w:val="24"/>
        </w:rPr>
      </w:pPr>
      <w:hyperlink w:anchor="_Toc64755941" w:history="1">
        <w:r w:rsidR="00E4115B" w:rsidRPr="00E4115B">
          <w:rPr>
            <w:rStyle w:val="Kpr"/>
            <w:rFonts w:ascii="Times New Roman" w:hAnsi="Times New Roman"/>
            <w:noProof/>
            <w:sz w:val="24"/>
            <w:szCs w:val="24"/>
          </w:rPr>
          <w:t>9.3.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Satış Tekliflerinde Eşleştirme Kuralları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17</w:t>
        </w:r>
        <w:r w:rsidR="00E4115B" w:rsidRPr="00E4115B">
          <w:rPr>
            <w:rFonts w:ascii="Times New Roman" w:hAnsi="Times New Roman"/>
            <w:noProof/>
            <w:webHidden/>
            <w:sz w:val="24"/>
            <w:szCs w:val="24"/>
          </w:rPr>
          <w:fldChar w:fldCharType="end"/>
        </w:r>
      </w:hyperlink>
    </w:p>
    <w:p w14:paraId="4AF352D8" w14:textId="1B5AA6A7" w:rsidR="00E4115B" w:rsidRPr="00E4115B" w:rsidRDefault="00F92C1E">
      <w:pPr>
        <w:pStyle w:val="T2"/>
        <w:tabs>
          <w:tab w:val="left" w:pos="880"/>
          <w:tab w:val="right" w:leader="dot" w:pos="9062"/>
        </w:tabs>
        <w:rPr>
          <w:rFonts w:ascii="Times New Roman" w:hAnsi="Times New Roman"/>
          <w:noProof/>
          <w:sz w:val="24"/>
          <w:szCs w:val="24"/>
        </w:rPr>
      </w:pPr>
      <w:hyperlink w:anchor="_Toc64755942" w:history="1">
        <w:r w:rsidR="00E4115B" w:rsidRPr="00E4115B">
          <w:rPr>
            <w:rStyle w:val="Kpr"/>
            <w:rFonts w:ascii="Times New Roman" w:hAnsi="Times New Roman"/>
            <w:noProof/>
            <w:sz w:val="24"/>
            <w:szCs w:val="24"/>
          </w:rPr>
          <w:t>9.4.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Ticari İşlem Onayı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17</w:t>
        </w:r>
        <w:r w:rsidR="00E4115B" w:rsidRPr="00E4115B">
          <w:rPr>
            <w:rFonts w:ascii="Times New Roman" w:hAnsi="Times New Roman"/>
            <w:noProof/>
            <w:webHidden/>
            <w:sz w:val="24"/>
            <w:szCs w:val="24"/>
          </w:rPr>
          <w:fldChar w:fldCharType="end"/>
        </w:r>
      </w:hyperlink>
    </w:p>
    <w:p w14:paraId="73BDF6C4" w14:textId="54DD856D" w:rsidR="00E4115B" w:rsidRPr="00E4115B" w:rsidRDefault="00F92C1E">
      <w:pPr>
        <w:pStyle w:val="T2"/>
        <w:tabs>
          <w:tab w:val="left" w:pos="880"/>
          <w:tab w:val="right" w:leader="dot" w:pos="9062"/>
        </w:tabs>
        <w:rPr>
          <w:rFonts w:ascii="Times New Roman" w:hAnsi="Times New Roman"/>
          <w:noProof/>
          <w:sz w:val="24"/>
          <w:szCs w:val="24"/>
        </w:rPr>
      </w:pPr>
      <w:hyperlink w:anchor="_Toc64755943" w:history="1">
        <w:r w:rsidR="00E4115B" w:rsidRPr="00E4115B">
          <w:rPr>
            <w:rStyle w:val="Kpr"/>
            <w:rFonts w:ascii="Times New Roman" w:hAnsi="Times New Roman"/>
            <w:noProof/>
            <w:sz w:val="24"/>
            <w:szCs w:val="24"/>
          </w:rPr>
          <w:t>9.5.</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Tekliflerin ve İşlemlerin İptali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_Toc64755943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18</w:t>
        </w:r>
        <w:r w:rsidR="00E4115B" w:rsidRPr="00E4115B">
          <w:rPr>
            <w:rFonts w:ascii="Times New Roman" w:hAnsi="Times New Roman"/>
            <w:noProof/>
            <w:webHidden/>
            <w:sz w:val="24"/>
            <w:szCs w:val="24"/>
          </w:rPr>
          <w:fldChar w:fldCharType="end"/>
        </w:r>
      </w:hyperlink>
    </w:p>
    <w:p w14:paraId="59B0B649" w14:textId="35ACEDDF" w:rsidR="00E4115B" w:rsidRPr="00E4115B" w:rsidRDefault="00F92C1E">
      <w:pPr>
        <w:pStyle w:val="T2"/>
        <w:tabs>
          <w:tab w:val="left" w:pos="880"/>
          <w:tab w:val="right" w:leader="dot" w:pos="9062"/>
        </w:tabs>
        <w:rPr>
          <w:rFonts w:ascii="Times New Roman" w:hAnsi="Times New Roman"/>
          <w:noProof/>
          <w:sz w:val="24"/>
          <w:szCs w:val="24"/>
        </w:rPr>
      </w:pPr>
      <w:hyperlink w:anchor="_Toc64755944" w:history="1">
        <w:r w:rsidR="00E4115B" w:rsidRPr="00E4115B">
          <w:rPr>
            <w:rStyle w:val="Kpr"/>
            <w:rFonts w:ascii="Times New Roman" w:hAnsi="Times New Roman"/>
            <w:noProof/>
            <w:sz w:val="24"/>
            <w:szCs w:val="24"/>
          </w:rPr>
          <w:t>9.6.</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Ticari İşlem İtiraz Süreci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18</w:t>
        </w:r>
        <w:r w:rsidR="00E4115B" w:rsidRPr="00E4115B">
          <w:rPr>
            <w:rFonts w:ascii="Times New Roman" w:hAnsi="Times New Roman"/>
            <w:noProof/>
            <w:webHidden/>
            <w:sz w:val="24"/>
            <w:szCs w:val="24"/>
          </w:rPr>
          <w:fldChar w:fldCharType="end"/>
        </w:r>
      </w:hyperlink>
    </w:p>
    <w:p w14:paraId="6B4DFCBD" w14:textId="7C070389" w:rsidR="00E4115B" w:rsidRPr="00E4115B" w:rsidRDefault="00F92C1E">
      <w:pPr>
        <w:pStyle w:val="T1"/>
        <w:tabs>
          <w:tab w:val="left" w:pos="660"/>
          <w:tab w:val="right" w:leader="dot" w:pos="9062"/>
        </w:tabs>
        <w:rPr>
          <w:rFonts w:ascii="Times New Roman" w:hAnsi="Times New Roman"/>
          <w:noProof/>
          <w:sz w:val="24"/>
          <w:szCs w:val="24"/>
        </w:rPr>
      </w:pPr>
      <w:hyperlink w:anchor="_Toc64755945" w:history="1">
        <w:r w:rsidR="00E4115B" w:rsidRPr="00E4115B">
          <w:rPr>
            <w:rStyle w:val="Kpr"/>
            <w:rFonts w:ascii="Times New Roman" w:hAnsi="Times New Roman"/>
            <w:noProof/>
            <w:sz w:val="24"/>
            <w:szCs w:val="24"/>
          </w:rPr>
          <w:t>10.</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FİYATLAR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19</w:t>
        </w:r>
        <w:r w:rsidR="00E4115B" w:rsidRPr="00E4115B">
          <w:rPr>
            <w:rFonts w:ascii="Times New Roman" w:hAnsi="Times New Roman"/>
            <w:noProof/>
            <w:webHidden/>
            <w:sz w:val="24"/>
            <w:szCs w:val="24"/>
          </w:rPr>
          <w:fldChar w:fldCharType="end"/>
        </w:r>
      </w:hyperlink>
    </w:p>
    <w:p w14:paraId="29E5BFEB" w14:textId="3C730495" w:rsidR="00E4115B" w:rsidRPr="00E4115B" w:rsidRDefault="00F92C1E">
      <w:pPr>
        <w:pStyle w:val="T2"/>
        <w:tabs>
          <w:tab w:val="left" w:pos="1100"/>
          <w:tab w:val="right" w:leader="dot" w:pos="9062"/>
        </w:tabs>
        <w:rPr>
          <w:rFonts w:ascii="Times New Roman" w:hAnsi="Times New Roman"/>
          <w:noProof/>
          <w:sz w:val="24"/>
          <w:szCs w:val="24"/>
        </w:rPr>
      </w:pPr>
      <w:hyperlink w:anchor="_Toc64755947" w:history="1">
        <w:r w:rsidR="00E4115B" w:rsidRPr="00E4115B">
          <w:rPr>
            <w:rStyle w:val="Kpr"/>
            <w:rFonts w:ascii="Times New Roman" w:hAnsi="Times New Roman"/>
            <w:noProof/>
            <w:sz w:val="24"/>
            <w:szCs w:val="24"/>
          </w:rPr>
          <w:t>10.1.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Açılış Fiyatı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19</w:t>
        </w:r>
        <w:r w:rsidR="00E4115B" w:rsidRPr="00E4115B">
          <w:rPr>
            <w:rFonts w:ascii="Times New Roman" w:hAnsi="Times New Roman"/>
            <w:noProof/>
            <w:webHidden/>
            <w:sz w:val="24"/>
            <w:szCs w:val="24"/>
          </w:rPr>
          <w:fldChar w:fldCharType="end"/>
        </w:r>
      </w:hyperlink>
    </w:p>
    <w:p w14:paraId="6E006B84" w14:textId="0CD80E09" w:rsidR="00E4115B" w:rsidRPr="00E4115B" w:rsidRDefault="00F92C1E">
      <w:pPr>
        <w:pStyle w:val="T2"/>
        <w:tabs>
          <w:tab w:val="left" w:pos="1100"/>
          <w:tab w:val="right" w:leader="dot" w:pos="9062"/>
        </w:tabs>
        <w:rPr>
          <w:rFonts w:ascii="Times New Roman" w:hAnsi="Times New Roman"/>
          <w:noProof/>
          <w:sz w:val="24"/>
          <w:szCs w:val="24"/>
        </w:rPr>
      </w:pPr>
      <w:hyperlink w:anchor="_Toc64755948" w:history="1">
        <w:r w:rsidR="00E4115B" w:rsidRPr="00E4115B">
          <w:rPr>
            <w:rStyle w:val="Kpr"/>
            <w:rFonts w:ascii="Times New Roman" w:hAnsi="Times New Roman"/>
            <w:noProof/>
            <w:sz w:val="24"/>
            <w:szCs w:val="24"/>
          </w:rPr>
          <w:t>10.2.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Baz Fiyat</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19</w:t>
        </w:r>
        <w:r w:rsidR="00E4115B" w:rsidRPr="00E4115B">
          <w:rPr>
            <w:rFonts w:ascii="Times New Roman" w:hAnsi="Times New Roman"/>
            <w:noProof/>
            <w:webHidden/>
            <w:sz w:val="24"/>
            <w:szCs w:val="24"/>
          </w:rPr>
          <w:fldChar w:fldCharType="end"/>
        </w:r>
      </w:hyperlink>
    </w:p>
    <w:p w14:paraId="21299C4B" w14:textId="0F6F2647" w:rsidR="00E4115B" w:rsidRPr="00E4115B" w:rsidRDefault="00F92C1E">
      <w:pPr>
        <w:pStyle w:val="T2"/>
        <w:tabs>
          <w:tab w:val="left" w:pos="1100"/>
          <w:tab w:val="right" w:leader="dot" w:pos="9062"/>
        </w:tabs>
        <w:rPr>
          <w:rFonts w:ascii="Times New Roman" w:hAnsi="Times New Roman"/>
          <w:noProof/>
          <w:sz w:val="24"/>
          <w:szCs w:val="24"/>
        </w:rPr>
      </w:pPr>
      <w:hyperlink w:anchor="_Toc64755949" w:history="1">
        <w:r w:rsidR="00E4115B" w:rsidRPr="00E4115B">
          <w:rPr>
            <w:rStyle w:val="Kpr"/>
            <w:rFonts w:ascii="Times New Roman" w:hAnsi="Times New Roman"/>
            <w:noProof/>
            <w:sz w:val="24"/>
            <w:szCs w:val="24"/>
          </w:rPr>
          <w:t>10.3.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Günlük Gösterge Fiyatı (GGF)</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19</w:t>
        </w:r>
        <w:r w:rsidR="00E4115B" w:rsidRPr="00E4115B">
          <w:rPr>
            <w:rFonts w:ascii="Times New Roman" w:hAnsi="Times New Roman"/>
            <w:noProof/>
            <w:webHidden/>
            <w:sz w:val="24"/>
            <w:szCs w:val="24"/>
          </w:rPr>
          <w:fldChar w:fldCharType="end"/>
        </w:r>
      </w:hyperlink>
    </w:p>
    <w:p w14:paraId="545DAE1B" w14:textId="70E2B8D5" w:rsidR="00E4115B" w:rsidRPr="00E4115B" w:rsidRDefault="00F92C1E">
      <w:pPr>
        <w:pStyle w:val="T2"/>
        <w:tabs>
          <w:tab w:val="left" w:pos="1100"/>
          <w:tab w:val="right" w:leader="dot" w:pos="9062"/>
        </w:tabs>
        <w:rPr>
          <w:rFonts w:ascii="Times New Roman" w:hAnsi="Times New Roman"/>
          <w:noProof/>
          <w:sz w:val="24"/>
          <w:szCs w:val="24"/>
        </w:rPr>
      </w:pPr>
      <w:hyperlink w:anchor="_Toc64755950" w:history="1">
        <w:r w:rsidR="00E4115B" w:rsidRPr="00E4115B">
          <w:rPr>
            <w:rStyle w:val="Kpr"/>
            <w:rFonts w:ascii="Times New Roman" w:hAnsi="Times New Roman"/>
            <w:noProof/>
            <w:sz w:val="24"/>
            <w:szCs w:val="24"/>
          </w:rPr>
          <w:t>10.4.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Teorik Fiyat Yöntemi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22</w:t>
        </w:r>
        <w:r w:rsidR="00E4115B" w:rsidRPr="00E4115B">
          <w:rPr>
            <w:rFonts w:ascii="Times New Roman" w:hAnsi="Times New Roman"/>
            <w:noProof/>
            <w:webHidden/>
            <w:sz w:val="24"/>
            <w:szCs w:val="24"/>
          </w:rPr>
          <w:fldChar w:fldCharType="end"/>
        </w:r>
      </w:hyperlink>
    </w:p>
    <w:p w14:paraId="28ED18E1" w14:textId="6CCD0F5D" w:rsidR="00E4115B" w:rsidRPr="00E4115B" w:rsidRDefault="00F92C1E">
      <w:pPr>
        <w:pStyle w:val="T2"/>
        <w:tabs>
          <w:tab w:val="left" w:pos="1100"/>
          <w:tab w:val="right" w:leader="dot" w:pos="9062"/>
        </w:tabs>
        <w:rPr>
          <w:rFonts w:ascii="Times New Roman" w:hAnsi="Times New Roman"/>
          <w:noProof/>
          <w:sz w:val="24"/>
          <w:szCs w:val="24"/>
        </w:rPr>
      </w:pPr>
      <w:hyperlink w:anchor="_Toc64755951" w:history="1">
        <w:r w:rsidR="00E4115B" w:rsidRPr="00E4115B">
          <w:rPr>
            <w:rStyle w:val="Kpr"/>
            <w:rFonts w:ascii="Times New Roman" w:hAnsi="Times New Roman"/>
            <w:noProof/>
            <w:sz w:val="24"/>
            <w:szCs w:val="24"/>
          </w:rPr>
          <w:t>10.5.</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Günlük Fiyat Değişim Limitleri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24</w:t>
        </w:r>
        <w:r w:rsidR="00E4115B" w:rsidRPr="00E4115B">
          <w:rPr>
            <w:rFonts w:ascii="Times New Roman" w:hAnsi="Times New Roman"/>
            <w:noProof/>
            <w:webHidden/>
            <w:sz w:val="24"/>
            <w:szCs w:val="24"/>
          </w:rPr>
          <w:fldChar w:fldCharType="end"/>
        </w:r>
      </w:hyperlink>
    </w:p>
    <w:p w14:paraId="2AE025C3" w14:textId="757AF660" w:rsidR="00E4115B" w:rsidRPr="00E4115B" w:rsidRDefault="00F92C1E">
      <w:pPr>
        <w:pStyle w:val="T1"/>
        <w:tabs>
          <w:tab w:val="left" w:pos="660"/>
          <w:tab w:val="right" w:leader="dot" w:pos="9062"/>
        </w:tabs>
        <w:rPr>
          <w:rFonts w:ascii="Times New Roman" w:hAnsi="Times New Roman"/>
          <w:noProof/>
          <w:sz w:val="24"/>
          <w:szCs w:val="24"/>
        </w:rPr>
      </w:pPr>
      <w:hyperlink w:anchor="_Toc64755952" w:history="1">
        <w:r w:rsidR="00E4115B" w:rsidRPr="00E4115B">
          <w:rPr>
            <w:rStyle w:val="Kpr"/>
            <w:rFonts w:ascii="Times New Roman" w:hAnsi="Times New Roman"/>
            <w:noProof/>
            <w:sz w:val="24"/>
            <w:szCs w:val="24"/>
          </w:rPr>
          <w:t>11.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POZİSYON LİMİTLERİ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24</w:t>
        </w:r>
        <w:r w:rsidR="00E4115B" w:rsidRPr="00E4115B">
          <w:rPr>
            <w:rFonts w:ascii="Times New Roman" w:hAnsi="Times New Roman"/>
            <w:noProof/>
            <w:webHidden/>
            <w:sz w:val="24"/>
            <w:szCs w:val="24"/>
          </w:rPr>
          <w:fldChar w:fldCharType="end"/>
        </w:r>
      </w:hyperlink>
    </w:p>
    <w:p w14:paraId="74158241" w14:textId="133A1576" w:rsidR="00E4115B" w:rsidRPr="00E4115B" w:rsidRDefault="00F92C1E">
      <w:pPr>
        <w:pStyle w:val="T2"/>
        <w:tabs>
          <w:tab w:val="left" w:pos="1100"/>
          <w:tab w:val="right" w:leader="dot" w:pos="9062"/>
        </w:tabs>
        <w:rPr>
          <w:rFonts w:ascii="Times New Roman" w:hAnsi="Times New Roman"/>
          <w:noProof/>
          <w:sz w:val="24"/>
          <w:szCs w:val="24"/>
        </w:rPr>
      </w:pPr>
      <w:hyperlink w:anchor="_Toc64755954" w:history="1">
        <w:r w:rsidR="00E4115B" w:rsidRPr="00E4115B">
          <w:rPr>
            <w:rStyle w:val="Kpr"/>
            <w:rFonts w:ascii="Times New Roman" w:hAnsi="Times New Roman"/>
            <w:noProof/>
            <w:sz w:val="24"/>
            <w:szCs w:val="24"/>
          </w:rPr>
          <w:t>11.1.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 Pozisyon Limiti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24</w:t>
        </w:r>
        <w:r w:rsidR="00E4115B" w:rsidRPr="00E4115B">
          <w:rPr>
            <w:rFonts w:ascii="Times New Roman" w:hAnsi="Times New Roman"/>
            <w:noProof/>
            <w:webHidden/>
            <w:sz w:val="24"/>
            <w:szCs w:val="24"/>
          </w:rPr>
          <w:fldChar w:fldCharType="end"/>
        </w:r>
      </w:hyperlink>
    </w:p>
    <w:p w14:paraId="7832DE56" w14:textId="1F859937" w:rsidR="00E4115B" w:rsidRPr="00E4115B" w:rsidRDefault="00F92C1E">
      <w:pPr>
        <w:pStyle w:val="T2"/>
        <w:tabs>
          <w:tab w:val="left" w:pos="1100"/>
          <w:tab w:val="right" w:leader="dot" w:pos="9062"/>
        </w:tabs>
        <w:rPr>
          <w:rFonts w:ascii="Times New Roman" w:hAnsi="Times New Roman"/>
          <w:noProof/>
          <w:sz w:val="24"/>
          <w:szCs w:val="24"/>
        </w:rPr>
      </w:pPr>
      <w:hyperlink w:anchor="_Toc64755955" w:history="1">
        <w:r w:rsidR="00E4115B" w:rsidRPr="00E4115B">
          <w:rPr>
            <w:rStyle w:val="Kpr"/>
            <w:rFonts w:ascii="Times New Roman" w:hAnsi="Times New Roman"/>
            <w:noProof/>
            <w:sz w:val="24"/>
            <w:szCs w:val="24"/>
          </w:rPr>
          <w:t>11.2.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Katılımcı Pozisyon Limitleri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25</w:t>
        </w:r>
        <w:r w:rsidR="00E4115B" w:rsidRPr="00E4115B">
          <w:rPr>
            <w:rFonts w:ascii="Times New Roman" w:hAnsi="Times New Roman"/>
            <w:noProof/>
            <w:webHidden/>
            <w:sz w:val="24"/>
            <w:szCs w:val="24"/>
          </w:rPr>
          <w:fldChar w:fldCharType="end"/>
        </w:r>
      </w:hyperlink>
    </w:p>
    <w:p w14:paraId="52888AA4" w14:textId="1B702D98" w:rsidR="00E4115B" w:rsidRPr="00E4115B" w:rsidRDefault="00F92C1E">
      <w:pPr>
        <w:pStyle w:val="T2"/>
        <w:tabs>
          <w:tab w:val="left" w:pos="1100"/>
          <w:tab w:val="right" w:leader="dot" w:pos="9062"/>
        </w:tabs>
        <w:rPr>
          <w:rFonts w:ascii="Times New Roman" w:hAnsi="Times New Roman"/>
          <w:noProof/>
          <w:sz w:val="24"/>
          <w:szCs w:val="24"/>
        </w:rPr>
      </w:pPr>
      <w:hyperlink w:anchor="_Toc64755956" w:history="1">
        <w:r w:rsidR="00E4115B" w:rsidRPr="00E4115B">
          <w:rPr>
            <w:rStyle w:val="Kpr"/>
            <w:rFonts w:ascii="Times New Roman" w:hAnsi="Times New Roman"/>
            <w:noProof/>
            <w:sz w:val="24"/>
            <w:szCs w:val="24"/>
          </w:rPr>
          <w:t>11.3.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Pozisyonların Netleştirilmesi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27</w:t>
        </w:r>
        <w:r w:rsidR="00E4115B" w:rsidRPr="00E4115B">
          <w:rPr>
            <w:rFonts w:ascii="Times New Roman" w:hAnsi="Times New Roman"/>
            <w:noProof/>
            <w:webHidden/>
            <w:sz w:val="24"/>
            <w:szCs w:val="24"/>
          </w:rPr>
          <w:fldChar w:fldCharType="end"/>
        </w:r>
      </w:hyperlink>
    </w:p>
    <w:p w14:paraId="5B3BAA17" w14:textId="2C532FBD" w:rsidR="00E4115B" w:rsidRPr="00E4115B" w:rsidRDefault="00F92C1E">
      <w:pPr>
        <w:pStyle w:val="T2"/>
        <w:tabs>
          <w:tab w:val="left" w:pos="1100"/>
          <w:tab w:val="right" w:leader="dot" w:pos="9062"/>
        </w:tabs>
        <w:rPr>
          <w:rFonts w:ascii="Times New Roman" w:hAnsi="Times New Roman"/>
          <w:noProof/>
          <w:sz w:val="24"/>
          <w:szCs w:val="24"/>
        </w:rPr>
      </w:pPr>
      <w:hyperlink w:anchor="_Toc64755957" w:history="1">
        <w:r w:rsidR="00E4115B" w:rsidRPr="00E4115B">
          <w:rPr>
            <w:rStyle w:val="Kpr"/>
            <w:rFonts w:ascii="Times New Roman" w:hAnsi="Times New Roman"/>
            <w:noProof/>
            <w:sz w:val="24"/>
            <w:szCs w:val="24"/>
          </w:rPr>
          <w:t>11.4.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Kesinleşmiş Net Pozisyonların Hesaplanması ve Bildirimi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28</w:t>
        </w:r>
        <w:r w:rsidR="00E4115B" w:rsidRPr="00E4115B">
          <w:rPr>
            <w:rFonts w:ascii="Times New Roman" w:hAnsi="Times New Roman"/>
            <w:noProof/>
            <w:webHidden/>
            <w:sz w:val="24"/>
            <w:szCs w:val="24"/>
          </w:rPr>
          <w:fldChar w:fldCharType="end"/>
        </w:r>
      </w:hyperlink>
    </w:p>
    <w:p w14:paraId="1AF91F81" w14:textId="5DE7BFF0" w:rsidR="00E4115B" w:rsidRPr="00E4115B" w:rsidRDefault="00F92C1E">
      <w:pPr>
        <w:pStyle w:val="T1"/>
        <w:tabs>
          <w:tab w:val="left" w:pos="660"/>
          <w:tab w:val="right" w:leader="dot" w:pos="9062"/>
        </w:tabs>
        <w:rPr>
          <w:rFonts w:ascii="Times New Roman" w:hAnsi="Times New Roman"/>
          <w:noProof/>
          <w:sz w:val="24"/>
          <w:szCs w:val="24"/>
        </w:rPr>
      </w:pPr>
      <w:hyperlink w:anchor="_Toc64755958" w:history="1">
        <w:r w:rsidR="00E4115B" w:rsidRPr="00E4115B">
          <w:rPr>
            <w:rStyle w:val="Kpr"/>
            <w:rFonts w:ascii="Times New Roman" w:hAnsi="Times New Roman"/>
            <w:noProof/>
            <w:sz w:val="24"/>
            <w:szCs w:val="24"/>
          </w:rPr>
          <w:t>12.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TEMİNATLAR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28</w:t>
        </w:r>
        <w:r w:rsidR="00E4115B" w:rsidRPr="00E4115B">
          <w:rPr>
            <w:rFonts w:ascii="Times New Roman" w:hAnsi="Times New Roman"/>
            <w:noProof/>
            <w:webHidden/>
            <w:sz w:val="24"/>
            <w:szCs w:val="24"/>
          </w:rPr>
          <w:fldChar w:fldCharType="end"/>
        </w:r>
      </w:hyperlink>
    </w:p>
    <w:p w14:paraId="623A67F6" w14:textId="10854E2C" w:rsidR="00E4115B" w:rsidRPr="00E4115B" w:rsidRDefault="00F92C1E">
      <w:pPr>
        <w:pStyle w:val="T2"/>
        <w:tabs>
          <w:tab w:val="left" w:pos="1100"/>
          <w:tab w:val="right" w:leader="dot" w:pos="9062"/>
        </w:tabs>
        <w:rPr>
          <w:rFonts w:ascii="Times New Roman" w:hAnsi="Times New Roman"/>
          <w:noProof/>
          <w:sz w:val="24"/>
          <w:szCs w:val="24"/>
        </w:rPr>
      </w:pPr>
      <w:hyperlink w:anchor="_Toc64755960" w:history="1">
        <w:r w:rsidR="00E4115B" w:rsidRPr="00E4115B">
          <w:rPr>
            <w:rStyle w:val="Kpr"/>
            <w:rFonts w:ascii="Times New Roman" w:hAnsi="Times New Roman"/>
            <w:noProof/>
            <w:sz w:val="24"/>
            <w:szCs w:val="24"/>
          </w:rPr>
          <w:t>12.1.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Teminatlara İlişkin Esaslar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28</w:t>
        </w:r>
        <w:r w:rsidR="00E4115B" w:rsidRPr="00E4115B">
          <w:rPr>
            <w:rFonts w:ascii="Times New Roman" w:hAnsi="Times New Roman"/>
            <w:noProof/>
            <w:webHidden/>
            <w:sz w:val="24"/>
            <w:szCs w:val="24"/>
          </w:rPr>
          <w:fldChar w:fldCharType="end"/>
        </w:r>
      </w:hyperlink>
    </w:p>
    <w:p w14:paraId="75B328DF" w14:textId="6574472A" w:rsidR="00E4115B" w:rsidRPr="00E4115B" w:rsidRDefault="00F92C1E">
      <w:pPr>
        <w:pStyle w:val="T2"/>
        <w:tabs>
          <w:tab w:val="left" w:pos="1100"/>
          <w:tab w:val="right" w:leader="dot" w:pos="9062"/>
        </w:tabs>
        <w:rPr>
          <w:rFonts w:ascii="Times New Roman" w:hAnsi="Times New Roman"/>
          <w:noProof/>
          <w:sz w:val="24"/>
          <w:szCs w:val="24"/>
        </w:rPr>
      </w:pPr>
      <w:hyperlink w:anchor="_Toc64755961" w:history="1">
        <w:r w:rsidR="00E4115B" w:rsidRPr="00E4115B">
          <w:rPr>
            <w:rStyle w:val="Kpr"/>
            <w:rFonts w:ascii="Times New Roman" w:hAnsi="Times New Roman"/>
            <w:noProof/>
            <w:sz w:val="24"/>
            <w:szCs w:val="24"/>
          </w:rPr>
          <w:t>12.2.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Başlangıç Teminatı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28</w:t>
        </w:r>
        <w:r w:rsidR="00E4115B" w:rsidRPr="00E4115B">
          <w:rPr>
            <w:rFonts w:ascii="Times New Roman" w:hAnsi="Times New Roman"/>
            <w:noProof/>
            <w:webHidden/>
            <w:sz w:val="24"/>
            <w:szCs w:val="24"/>
          </w:rPr>
          <w:fldChar w:fldCharType="end"/>
        </w:r>
      </w:hyperlink>
    </w:p>
    <w:p w14:paraId="7533F16A" w14:textId="448CC5FC" w:rsidR="00E4115B" w:rsidRPr="00E4115B" w:rsidRDefault="00F92C1E">
      <w:pPr>
        <w:pStyle w:val="T2"/>
        <w:tabs>
          <w:tab w:val="left" w:pos="1100"/>
          <w:tab w:val="right" w:leader="dot" w:pos="9062"/>
        </w:tabs>
        <w:rPr>
          <w:rFonts w:ascii="Times New Roman" w:hAnsi="Times New Roman"/>
          <w:noProof/>
          <w:sz w:val="24"/>
          <w:szCs w:val="24"/>
        </w:rPr>
      </w:pPr>
      <w:hyperlink w:anchor="_Toc64755962" w:history="1">
        <w:r w:rsidR="00E4115B" w:rsidRPr="00E4115B">
          <w:rPr>
            <w:rStyle w:val="Kpr"/>
            <w:rFonts w:ascii="Times New Roman" w:hAnsi="Times New Roman"/>
            <w:noProof/>
            <w:sz w:val="24"/>
            <w:szCs w:val="24"/>
          </w:rPr>
          <w:t>12.3.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Finansal Dönem Teminatı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29</w:t>
        </w:r>
        <w:r w:rsidR="00E4115B" w:rsidRPr="00E4115B">
          <w:rPr>
            <w:rFonts w:ascii="Times New Roman" w:hAnsi="Times New Roman"/>
            <w:noProof/>
            <w:webHidden/>
            <w:sz w:val="24"/>
            <w:szCs w:val="24"/>
          </w:rPr>
          <w:fldChar w:fldCharType="end"/>
        </w:r>
      </w:hyperlink>
    </w:p>
    <w:p w14:paraId="64C159D4" w14:textId="39574E10" w:rsidR="00E4115B" w:rsidRPr="00E4115B" w:rsidRDefault="00F92C1E">
      <w:pPr>
        <w:pStyle w:val="T2"/>
        <w:tabs>
          <w:tab w:val="left" w:pos="1100"/>
          <w:tab w:val="right" w:leader="dot" w:pos="9062"/>
        </w:tabs>
        <w:rPr>
          <w:rFonts w:ascii="Times New Roman" w:hAnsi="Times New Roman"/>
          <w:noProof/>
          <w:sz w:val="24"/>
          <w:szCs w:val="24"/>
        </w:rPr>
      </w:pPr>
      <w:hyperlink w:anchor="_Toc64755963" w:history="1">
        <w:r w:rsidR="00E4115B" w:rsidRPr="00E4115B">
          <w:rPr>
            <w:rStyle w:val="Kpr"/>
            <w:rFonts w:ascii="Times New Roman" w:hAnsi="Times New Roman"/>
            <w:noProof/>
            <w:sz w:val="24"/>
            <w:szCs w:val="24"/>
          </w:rPr>
          <w:t>12.4.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Kontrat Teminatı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_Toc64755963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29</w:t>
        </w:r>
        <w:r w:rsidR="00E4115B" w:rsidRPr="00E4115B">
          <w:rPr>
            <w:rFonts w:ascii="Times New Roman" w:hAnsi="Times New Roman"/>
            <w:noProof/>
            <w:webHidden/>
            <w:sz w:val="24"/>
            <w:szCs w:val="24"/>
          </w:rPr>
          <w:fldChar w:fldCharType="end"/>
        </w:r>
      </w:hyperlink>
    </w:p>
    <w:p w14:paraId="68A010A0" w14:textId="5D0CB1C8" w:rsidR="00E4115B" w:rsidRPr="00E4115B" w:rsidRDefault="00F92C1E">
      <w:pPr>
        <w:pStyle w:val="T2"/>
        <w:tabs>
          <w:tab w:val="left" w:pos="1100"/>
          <w:tab w:val="right" w:leader="dot" w:pos="9062"/>
        </w:tabs>
        <w:rPr>
          <w:rFonts w:ascii="Times New Roman" w:hAnsi="Times New Roman"/>
          <w:noProof/>
          <w:sz w:val="24"/>
          <w:szCs w:val="24"/>
        </w:rPr>
      </w:pPr>
      <w:hyperlink w:anchor="_Toc64755964" w:history="1">
        <w:r w:rsidR="00E4115B" w:rsidRPr="00E4115B">
          <w:rPr>
            <w:rStyle w:val="Kpr"/>
            <w:rFonts w:ascii="Times New Roman" w:hAnsi="Times New Roman"/>
            <w:noProof/>
            <w:sz w:val="24"/>
            <w:szCs w:val="24"/>
          </w:rPr>
          <w:t>12.5.</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Net Zarar Hesabı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30</w:t>
        </w:r>
        <w:r w:rsidR="00E4115B" w:rsidRPr="00E4115B">
          <w:rPr>
            <w:rFonts w:ascii="Times New Roman" w:hAnsi="Times New Roman"/>
            <w:noProof/>
            <w:webHidden/>
            <w:sz w:val="24"/>
            <w:szCs w:val="24"/>
          </w:rPr>
          <w:fldChar w:fldCharType="end"/>
        </w:r>
      </w:hyperlink>
    </w:p>
    <w:p w14:paraId="5FAAB891" w14:textId="532A698A" w:rsidR="00E4115B" w:rsidRPr="00E4115B" w:rsidRDefault="00F92C1E">
      <w:pPr>
        <w:pStyle w:val="T2"/>
        <w:tabs>
          <w:tab w:val="left" w:pos="1100"/>
          <w:tab w:val="right" w:leader="dot" w:pos="9062"/>
        </w:tabs>
        <w:rPr>
          <w:rFonts w:ascii="Times New Roman" w:hAnsi="Times New Roman"/>
          <w:noProof/>
          <w:sz w:val="24"/>
          <w:szCs w:val="24"/>
        </w:rPr>
      </w:pPr>
      <w:hyperlink w:anchor="_Toc64755965" w:history="1">
        <w:r w:rsidR="00E4115B" w:rsidRPr="00E4115B">
          <w:rPr>
            <w:rStyle w:val="Kpr"/>
            <w:rFonts w:ascii="Times New Roman" w:hAnsi="Times New Roman"/>
            <w:noProof/>
            <w:sz w:val="24"/>
            <w:szCs w:val="24"/>
          </w:rPr>
          <w:t>12.6.</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Piyasaya Göre Güncelleme Teminatı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31</w:t>
        </w:r>
        <w:r w:rsidR="00E4115B" w:rsidRPr="00E4115B">
          <w:rPr>
            <w:rFonts w:ascii="Times New Roman" w:hAnsi="Times New Roman"/>
            <w:noProof/>
            <w:webHidden/>
            <w:sz w:val="24"/>
            <w:szCs w:val="24"/>
          </w:rPr>
          <w:fldChar w:fldCharType="end"/>
        </w:r>
      </w:hyperlink>
    </w:p>
    <w:p w14:paraId="337788D7" w14:textId="6321BF4A" w:rsidR="00E4115B" w:rsidRPr="00E4115B" w:rsidRDefault="00F92C1E">
      <w:pPr>
        <w:pStyle w:val="T2"/>
        <w:tabs>
          <w:tab w:val="left" w:pos="1100"/>
          <w:tab w:val="right" w:leader="dot" w:pos="9062"/>
        </w:tabs>
        <w:rPr>
          <w:rFonts w:ascii="Times New Roman" w:hAnsi="Times New Roman"/>
          <w:noProof/>
          <w:sz w:val="24"/>
          <w:szCs w:val="24"/>
        </w:rPr>
      </w:pPr>
      <w:hyperlink w:anchor="_Toc64755966" w:history="1">
        <w:r w:rsidR="00E4115B" w:rsidRPr="00E4115B">
          <w:rPr>
            <w:rStyle w:val="Kpr"/>
            <w:rFonts w:ascii="Times New Roman" w:hAnsi="Times New Roman"/>
            <w:noProof/>
            <w:sz w:val="24"/>
            <w:szCs w:val="24"/>
          </w:rPr>
          <w:t>12.7.</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Tam Yayılma Pozisyonu Teminat İndirimi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33</w:t>
        </w:r>
        <w:r w:rsidR="00E4115B" w:rsidRPr="00E4115B">
          <w:rPr>
            <w:rFonts w:ascii="Times New Roman" w:hAnsi="Times New Roman"/>
            <w:noProof/>
            <w:webHidden/>
            <w:sz w:val="24"/>
            <w:szCs w:val="24"/>
          </w:rPr>
          <w:fldChar w:fldCharType="end"/>
        </w:r>
      </w:hyperlink>
    </w:p>
    <w:p w14:paraId="0BC964BE" w14:textId="467A52A3" w:rsidR="00E4115B" w:rsidRPr="00E4115B" w:rsidRDefault="00F92C1E">
      <w:pPr>
        <w:pStyle w:val="T2"/>
        <w:tabs>
          <w:tab w:val="left" w:pos="1100"/>
          <w:tab w:val="right" w:leader="dot" w:pos="9062"/>
        </w:tabs>
        <w:rPr>
          <w:rFonts w:ascii="Times New Roman" w:hAnsi="Times New Roman"/>
          <w:noProof/>
          <w:sz w:val="24"/>
          <w:szCs w:val="24"/>
        </w:rPr>
      </w:pPr>
      <w:hyperlink w:anchor="_Toc64755967" w:history="1">
        <w:r w:rsidR="00E4115B" w:rsidRPr="00E4115B">
          <w:rPr>
            <w:rStyle w:val="Kpr"/>
            <w:rFonts w:ascii="Times New Roman" w:hAnsi="Times New Roman"/>
            <w:noProof/>
            <w:sz w:val="24"/>
            <w:szCs w:val="24"/>
          </w:rPr>
          <w:t>12.8.</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Fiziksel Dönem Teminatı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34</w:t>
        </w:r>
        <w:r w:rsidR="00E4115B" w:rsidRPr="00E4115B">
          <w:rPr>
            <w:rFonts w:ascii="Times New Roman" w:hAnsi="Times New Roman"/>
            <w:noProof/>
            <w:webHidden/>
            <w:sz w:val="24"/>
            <w:szCs w:val="24"/>
          </w:rPr>
          <w:fldChar w:fldCharType="end"/>
        </w:r>
      </w:hyperlink>
    </w:p>
    <w:p w14:paraId="482A8F2F" w14:textId="555B995D" w:rsidR="00E4115B" w:rsidRPr="00E4115B" w:rsidRDefault="00F92C1E">
      <w:pPr>
        <w:pStyle w:val="T2"/>
        <w:tabs>
          <w:tab w:val="left" w:pos="1100"/>
          <w:tab w:val="right" w:leader="dot" w:pos="9062"/>
        </w:tabs>
        <w:rPr>
          <w:rFonts w:ascii="Times New Roman" w:hAnsi="Times New Roman"/>
          <w:noProof/>
          <w:sz w:val="24"/>
          <w:szCs w:val="24"/>
        </w:rPr>
      </w:pPr>
      <w:hyperlink w:anchor="_Toc64755968" w:history="1">
        <w:r w:rsidR="00E4115B" w:rsidRPr="00E4115B">
          <w:rPr>
            <w:rStyle w:val="Kpr"/>
            <w:rFonts w:ascii="Times New Roman" w:hAnsi="Times New Roman"/>
            <w:noProof/>
            <w:sz w:val="24"/>
            <w:szCs w:val="24"/>
          </w:rPr>
          <w:t>12.9.</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Toplam VGP Teminatının Hesaplanması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36</w:t>
        </w:r>
        <w:r w:rsidR="00E4115B" w:rsidRPr="00E4115B">
          <w:rPr>
            <w:rFonts w:ascii="Times New Roman" w:hAnsi="Times New Roman"/>
            <w:noProof/>
            <w:webHidden/>
            <w:sz w:val="24"/>
            <w:szCs w:val="24"/>
          </w:rPr>
          <w:fldChar w:fldCharType="end"/>
        </w:r>
      </w:hyperlink>
    </w:p>
    <w:p w14:paraId="23C3E6D3" w14:textId="3DDD2086" w:rsidR="00E4115B" w:rsidRPr="00E4115B" w:rsidRDefault="00F92C1E">
      <w:pPr>
        <w:pStyle w:val="T2"/>
        <w:tabs>
          <w:tab w:val="left" w:pos="1100"/>
          <w:tab w:val="right" w:leader="dot" w:pos="9062"/>
        </w:tabs>
        <w:rPr>
          <w:rFonts w:ascii="Times New Roman" w:hAnsi="Times New Roman"/>
          <w:noProof/>
          <w:sz w:val="24"/>
          <w:szCs w:val="24"/>
        </w:rPr>
      </w:pPr>
      <w:hyperlink w:anchor="_Toc64755969" w:history="1">
        <w:r w:rsidR="00E4115B" w:rsidRPr="00E4115B">
          <w:rPr>
            <w:rStyle w:val="Kpr"/>
            <w:rFonts w:ascii="Times New Roman" w:hAnsi="Times New Roman"/>
            <w:noProof/>
            <w:sz w:val="24"/>
            <w:szCs w:val="24"/>
          </w:rPr>
          <w:t>12.10.</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Teminat İşlemleri ve Kontrolüne İlişkin Süreçler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37</w:t>
        </w:r>
        <w:r w:rsidR="00E4115B" w:rsidRPr="00E4115B">
          <w:rPr>
            <w:rFonts w:ascii="Times New Roman" w:hAnsi="Times New Roman"/>
            <w:noProof/>
            <w:webHidden/>
            <w:sz w:val="24"/>
            <w:szCs w:val="24"/>
          </w:rPr>
          <w:fldChar w:fldCharType="end"/>
        </w:r>
      </w:hyperlink>
    </w:p>
    <w:p w14:paraId="2D7B03F2" w14:textId="0D0271FC" w:rsidR="00E4115B" w:rsidRPr="00E4115B" w:rsidRDefault="00F92C1E">
      <w:pPr>
        <w:pStyle w:val="T2"/>
        <w:tabs>
          <w:tab w:val="left" w:pos="1100"/>
          <w:tab w:val="right" w:leader="dot" w:pos="9062"/>
        </w:tabs>
        <w:rPr>
          <w:rFonts w:ascii="Times New Roman" w:hAnsi="Times New Roman"/>
          <w:noProof/>
          <w:sz w:val="24"/>
          <w:szCs w:val="24"/>
        </w:rPr>
      </w:pPr>
      <w:hyperlink w:anchor="_Toc64755970" w:history="1">
        <w:r w:rsidR="00E4115B" w:rsidRPr="00E4115B">
          <w:rPr>
            <w:rStyle w:val="Kpr"/>
            <w:rFonts w:ascii="Times New Roman" w:hAnsi="Times New Roman"/>
            <w:noProof/>
            <w:sz w:val="24"/>
            <w:szCs w:val="24"/>
          </w:rPr>
          <w:t>12.11.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Teminat Olarak Kabul Edilecek Kıymetler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38</w:t>
        </w:r>
        <w:r w:rsidR="00E4115B" w:rsidRPr="00E4115B">
          <w:rPr>
            <w:rFonts w:ascii="Times New Roman" w:hAnsi="Times New Roman"/>
            <w:noProof/>
            <w:webHidden/>
            <w:sz w:val="24"/>
            <w:szCs w:val="24"/>
          </w:rPr>
          <w:fldChar w:fldCharType="end"/>
        </w:r>
      </w:hyperlink>
    </w:p>
    <w:p w14:paraId="635325D7" w14:textId="4B6DA27C" w:rsidR="00E4115B" w:rsidRPr="00E4115B" w:rsidRDefault="00F92C1E">
      <w:pPr>
        <w:pStyle w:val="T2"/>
        <w:tabs>
          <w:tab w:val="left" w:pos="1100"/>
          <w:tab w:val="right" w:leader="dot" w:pos="9062"/>
        </w:tabs>
        <w:rPr>
          <w:rFonts w:ascii="Times New Roman" w:hAnsi="Times New Roman"/>
          <w:noProof/>
          <w:sz w:val="24"/>
          <w:szCs w:val="24"/>
        </w:rPr>
      </w:pPr>
      <w:hyperlink w:anchor="_Toc64755971" w:history="1">
        <w:r w:rsidR="00E4115B" w:rsidRPr="00E4115B">
          <w:rPr>
            <w:rStyle w:val="Kpr"/>
            <w:rFonts w:ascii="Times New Roman" w:hAnsi="Times New Roman"/>
            <w:noProof/>
            <w:sz w:val="24"/>
            <w:szCs w:val="24"/>
          </w:rPr>
          <w:t>12.12.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Teminatların İadesi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39</w:t>
        </w:r>
        <w:r w:rsidR="00E4115B" w:rsidRPr="00E4115B">
          <w:rPr>
            <w:rFonts w:ascii="Times New Roman" w:hAnsi="Times New Roman"/>
            <w:noProof/>
            <w:webHidden/>
            <w:sz w:val="24"/>
            <w:szCs w:val="24"/>
          </w:rPr>
          <w:fldChar w:fldCharType="end"/>
        </w:r>
      </w:hyperlink>
    </w:p>
    <w:p w14:paraId="07DF9B86" w14:textId="2662AC3C" w:rsidR="00E4115B" w:rsidRPr="00E4115B" w:rsidRDefault="00F92C1E">
      <w:pPr>
        <w:pStyle w:val="T1"/>
        <w:tabs>
          <w:tab w:val="left" w:pos="660"/>
          <w:tab w:val="right" w:leader="dot" w:pos="9062"/>
        </w:tabs>
        <w:rPr>
          <w:rFonts w:ascii="Times New Roman" w:hAnsi="Times New Roman"/>
          <w:noProof/>
          <w:sz w:val="24"/>
          <w:szCs w:val="24"/>
        </w:rPr>
      </w:pPr>
      <w:hyperlink w:anchor="_Toc64755972" w:history="1">
        <w:r w:rsidR="00E4115B" w:rsidRPr="00E4115B">
          <w:rPr>
            <w:rStyle w:val="Kpr"/>
            <w:rFonts w:ascii="Times New Roman" w:hAnsi="Times New Roman"/>
            <w:noProof/>
            <w:sz w:val="24"/>
            <w:szCs w:val="24"/>
          </w:rPr>
          <w:t>13.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40</w:t>
        </w:r>
        <w:r w:rsidR="00E4115B" w:rsidRPr="00E4115B">
          <w:rPr>
            <w:rFonts w:ascii="Times New Roman" w:hAnsi="Times New Roman"/>
            <w:noProof/>
            <w:webHidden/>
            <w:sz w:val="24"/>
            <w:szCs w:val="24"/>
          </w:rPr>
          <w:fldChar w:fldCharType="end"/>
        </w:r>
      </w:hyperlink>
    </w:p>
    <w:p w14:paraId="285E252B" w14:textId="7EB5D9EE" w:rsidR="00E4115B" w:rsidRPr="00E4115B" w:rsidRDefault="00F92C1E">
      <w:pPr>
        <w:pStyle w:val="T2"/>
        <w:tabs>
          <w:tab w:val="left" w:pos="1100"/>
          <w:tab w:val="right" w:leader="dot" w:pos="9062"/>
        </w:tabs>
        <w:rPr>
          <w:rFonts w:ascii="Times New Roman" w:hAnsi="Times New Roman"/>
          <w:noProof/>
          <w:sz w:val="24"/>
          <w:szCs w:val="24"/>
        </w:rPr>
      </w:pPr>
      <w:hyperlink w:anchor="_Toc64755974" w:history="1">
        <w:r w:rsidR="00E4115B" w:rsidRPr="00E4115B">
          <w:rPr>
            <w:rStyle w:val="Kpr"/>
            <w:rFonts w:ascii="Times New Roman" w:hAnsi="Times New Roman"/>
            <w:noProof/>
            <w:sz w:val="24"/>
            <w:szCs w:val="24"/>
          </w:rPr>
          <w:t>13.1.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Hali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40</w:t>
        </w:r>
        <w:r w:rsidR="00E4115B" w:rsidRPr="00E4115B">
          <w:rPr>
            <w:rFonts w:ascii="Times New Roman" w:hAnsi="Times New Roman"/>
            <w:noProof/>
            <w:webHidden/>
            <w:sz w:val="24"/>
            <w:szCs w:val="24"/>
          </w:rPr>
          <w:fldChar w:fldCharType="end"/>
        </w:r>
      </w:hyperlink>
    </w:p>
    <w:p w14:paraId="3EC4B305" w14:textId="57F8A681" w:rsidR="00E4115B" w:rsidRPr="00E4115B" w:rsidRDefault="00F92C1E">
      <w:pPr>
        <w:pStyle w:val="T2"/>
        <w:tabs>
          <w:tab w:val="left" w:pos="1100"/>
          <w:tab w:val="right" w:leader="dot" w:pos="9062"/>
        </w:tabs>
        <w:rPr>
          <w:rFonts w:ascii="Times New Roman" w:hAnsi="Times New Roman"/>
          <w:noProof/>
          <w:sz w:val="24"/>
          <w:szCs w:val="24"/>
        </w:rPr>
      </w:pPr>
      <w:hyperlink w:anchor="_Toc64755975" w:history="1">
        <w:r w:rsidR="00E4115B" w:rsidRPr="00E4115B">
          <w:rPr>
            <w:rStyle w:val="Kpr"/>
            <w:rFonts w:ascii="Times New Roman" w:hAnsi="Times New Roman"/>
            <w:noProof/>
            <w:sz w:val="24"/>
            <w:szCs w:val="24"/>
          </w:rPr>
          <w:t>13.2.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Yönetimi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41</w:t>
        </w:r>
        <w:r w:rsidR="00E4115B" w:rsidRPr="00E4115B">
          <w:rPr>
            <w:rFonts w:ascii="Times New Roman" w:hAnsi="Times New Roman"/>
            <w:noProof/>
            <w:webHidden/>
            <w:sz w:val="24"/>
            <w:szCs w:val="24"/>
          </w:rPr>
          <w:fldChar w:fldCharType="end"/>
        </w:r>
      </w:hyperlink>
    </w:p>
    <w:p w14:paraId="45466051" w14:textId="77777777" w:rsidR="0093200E" w:rsidRDefault="0093200E">
      <w:pPr>
        <w:pStyle w:val="T1"/>
        <w:tabs>
          <w:tab w:val="left" w:pos="660"/>
          <w:tab w:val="right" w:leader="dot" w:pos="9062"/>
        </w:tabs>
      </w:pPr>
    </w:p>
    <w:p w14:paraId="1B149CD6" w14:textId="0587C968" w:rsidR="00E4115B" w:rsidRPr="00E4115B" w:rsidRDefault="00F92C1E">
      <w:pPr>
        <w:pStyle w:val="T1"/>
        <w:tabs>
          <w:tab w:val="left" w:pos="660"/>
          <w:tab w:val="right" w:leader="dot" w:pos="9062"/>
        </w:tabs>
        <w:rPr>
          <w:rFonts w:ascii="Times New Roman" w:hAnsi="Times New Roman"/>
          <w:noProof/>
          <w:sz w:val="24"/>
          <w:szCs w:val="24"/>
        </w:rPr>
      </w:pPr>
      <w:hyperlink w:anchor="_Toc64755976" w:history="1">
        <w:r w:rsidR="00E4115B" w:rsidRPr="00E4115B">
          <w:rPr>
            <w:rStyle w:val="Kpr"/>
            <w:rFonts w:ascii="Times New Roman" w:hAnsi="Times New Roman"/>
            <w:noProof/>
            <w:sz w:val="24"/>
            <w:szCs w:val="24"/>
          </w:rPr>
          <w:t>14.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UZLAŞTIRMA</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42</w:t>
        </w:r>
        <w:r w:rsidR="00E4115B" w:rsidRPr="00E4115B">
          <w:rPr>
            <w:rFonts w:ascii="Times New Roman" w:hAnsi="Times New Roman"/>
            <w:noProof/>
            <w:webHidden/>
            <w:sz w:val="24"/>
            <w:szCs w:val="24"/>
          </w:rPr>
          <w:fldChar w:fldCharType="end"/>
        </w:r>
      </w:hyperlink>
    </w:p>
    <w:p w14:paraId="00D1854E" w14:textId="08BB324F" w:rsidR="00E4115B" w:rsidRPr="00E4115B" w:rsidRDefault="00F92C1E">
      <w:pPr>
        <w:pStyle w:val="T2"/>
        <w:tabs>
          <w:tab w:val="left" w:pos="1100"/>
          <w:tab w:val="right" w:leader="dot" w:pos="9062"/>
        </w:tabs>
        <w:rPr>
          <w:rFonts w:ascii="Times New Roman" w:hAnsi="Times New Roman"/>
          <w:noProof/>
          <w:sz w:val="24"/>
          <w:szCs w:val="24"/>
        </w:rPr>
      </w:pPr>
      <w:hyperlink w:anchor="_Toc64755978" w:history="1">
        <w:r w:rsidR="00E4115B" w:rsidRPr="00E4115B">
          <w:rPr>
            <w:rStyle w:val="Kpr"/>
            <w:rFonts w:ascii="Times New Roman" w:hAnsi="Times New Roman"/>
            <w:noProof/>
            <w:sz w:val="24"/>
            <w:szCs w:val="24"/>
          </w:rPr>
          <w:t>14.1.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Uzlaştırma Hesaplamaları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42</w:t>
        </w:r>
        <w:r w:rsidR="00E4115B" w:rsidRPr="00E4115B">
          <w:rPr>
            <w:rFonts w:ascii="Times New Roman" w:hAnsi="Times New Roman"/>
            <w:noProof/>
            <w:webHidden/>
            <w:sz w:val="24"/>
            <w:szCs w:val="24"/>
          </w:rPr>
          <w:fldChar w:fldCharType="end"/>
        </w:r>
      </w:hyperlink>
    </w:p>
    <w:p w14:paraId="00F3A05C" w14:textId="742FF616" w:rsidR="00E4115B" w:rsidRPr="00E4115B" w:rsidRDefault="00F92C1E">
      <w:pPr>
        <w:pStyle w:val="T2"/>
        <w:tabs>
          <w:tab w:val="left" w:pos="1100"/>
          <w:tab w:val="right" w:leader="dot" w:pos="9062"/>
        </w:tabs>
        <w:rPr>
          <w:rFonts w:ascii="Times New Roman" w:hAnsi="Times New Roman"/>
          <w:noProof/>
          <w:sz w:val="24"/>
          <w:szCs w:val="24"/>
        </w:rPr>
      </w:pPr>
      <w:hyperlink w:anchor="_Toc64755979" w:history="1">
        <w:r w:rsidR="00E4115B" w:rsidRPr="00E4115B">
          <w:rPr>
            <w:rStyle w:val="Kpr"/>
            <w:rFonts w:ascii="Times New Roman" w:hAnsi="Times New Roman"/>
            <w:noProof/>
            <w:sz w:val="24"/>
            <w:szCs w:val="24"/>
          </w:rPr>
          <w:t>14.2.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VGP İşletim Ücreti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43</w:t>
        </w:r>
        <w:r w:rsidR="00E4115B" w:rsidRPr="00E4115B">
          <w:rPr>
            <w:rFonts w:ascii="Times New Roman" w:hAnsi="Times New Roman"/>
            <w:noProof/>
            <w:webHidden/>
            <w:sz w:val="24"/>
            <w:szCs w:val="24"/>
          </w:rPr>
          <w:fldChar w:fldCharType="end"/>
        </w:r>
      </w:hyperlink>
    </w:p>
    <w:p w14:paraId="1D5BA48B" w14:textId="05DEE550" w:rsidR="00E4115B" w:rsidRPr="00E4115B" w:rsidRDefault="00F92C1E">
      <w:pPr>
        <w:pStyle w:val="T1"/>
        <w:tabs>
          <w:tab w:val="left" w:pos="660"/>
          <w:tab w:val="right" w:leader="dot" w:pos="9062"/>
        </w:tabs>
        <w:rPr>
          <w:rFonts w:ascii="Times New Roman" w:hAnsi="Times New Roman"/>
          <w:noProof/>
          <w:sz w:val="24"/>
          <w:szCs w:val="24"/>
        </w:rPr>
      </w:pPr>
      <w:hyperlink w:anchor="_Toc64755980" w:history="1">
        <w:r w:rsidR="00E4115B" w:rsidRPr="00E4115B">
          <w:rPr>
            <w:rStyle w:val="Kpr"/>
            <w:rFonts w:ascii="Times New Roman" w:hAnsi="Times New Roman"/>
            <w:noProof/>
            <w:sz w:val="24"/>
            <w:szCs w:val="24"/>
          </w:rPr>
          <w:t>15.</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BİLDİRİMLER, FATURALAMA ve ÖDEMELER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44</w:t>
        </w:r>
        <w:r w:rsidR="00E4115B" w:rsidRPr="00E4115B">
          <w:rPr>
            <w:rFonts w:ascii="Times New Roman" w:hAnsi="Times New Roman"/>
            <w:noProof/>
            <w:webHidden/>
            <w:sz w:val="24"/>
            <w:szCs w:val="24"/>
          </w:rPr>
          <w:fldChar w:fldCharType="end"/>
        </w:r>
      </w:hyperlink>
    </w:p>
    <w:p w14:paraId="5FC43388" w14:textId="24EFE9ED" w:rsidR="00E4115B" w:rsidRPr="00E4115B" w:rsidRDefault="00F92C1E">
      <w:pPr>
        <w:pStyle w:val="T2"/>
        <w:tabs>
          <w:tab w:val="left" w:pos="1100"/>
          <w:tab w:val="right" w:leader="dot" w:pos="9062"/>
        </w:tabs>
        <w:rPr>
          <w:rFonts w:ascii="Times New Roman" w:hAnsi="Times New Roman"/>
          <w:noProof/>
          <w:sz w:val="24"/>
          <w:szCs w:val="24"/>
        </w:rPr>
      </w:pPr>
      <w:hyperlink w:anchor="_Toc64755982" w:history="1">
        <w:r w:rsidR="00E4115B" w:rsidRPr="00E4115B">
          <w:rPr>
            <w:rStyle w:val="Kpr"/>
            <w:rFonts w:ascii="Times New Roman" w:hAnsi="Times New Roman"/>
            <w:noProof/>
            <w:sz w:val="24"/>
            <w:szCs w:val="24"/>
          </w:rPr>
          <w:t>15.1.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VGP Faturaya Esas Uzlaştırma Bildirimleri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44</w:t>
        </w:r>
        <w:r w:rsidR="00E4115B" w:rsidRPr="00E4115B">
          <w:rPr>
            <w:rFonts w:ascii="Times New Roman" w:hAnsi="Times New Roman"/>
            <w:noProof/>
            <w:webHidden/>
            <w:sz w:val="24"/>
            <w:szCs w:val="24"/>
          </w:rPr>
          <w:fldChar w:fldCharType="end"/>
        </w:r>
      </w:hyperlink>
    </w:p>
    <w:p w14:paraId="04F9E175" w14:textId="1BF430E7" w:rsidR="00E4115B" w:rsidRPr="00E4115B" w:rsidRDefault="00F92C1E">
      <w:pPr>
        <w:pStyle w:val="T2"/>
        <w:tabs>
          <w:tab w:val="left" w:pos="1100"/>
          <w:tab w:val="right" w:leader="dot" w:pos="9062"/>
        </w:tabs>
        <w:rPr>
          <w:rFonts w:ascii="Times New Roman" w:hAnsi="Times New Roman"/>
          <w:noProof/>
          <w:sz w:val="24"/>
          <w:szCs w:val="24"/>
        </w:rPr>
      </w:pPr>
      <w:hyperlink w:anchor="_Toc64755983" w:history="1">
        <w:r w:rsidR="00E4115B" w:rsidRPr="00E4115B">
          <w:rPr>
            <w:rStyle w:val="Kpr"/>
            <w:rFonts w:ascii="Times New Roman" w:hAnsi="Times New Roman"/>
            <w:noProof/>
            <w:sz w:val="24"/>
            <w:szCs w:val="24"/>
          </w:rPr>
          <w:t>15.2.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Faturalama, Faturaya İtiraz ve Düzeltme İşlemleri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_Toc64755983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44</w:t>
        </w:r>
        <w:r w:rsidR="00E4115B" w:rsidRPr="00E4115B">
          <w:rPr>
            <w:rFonts w:ascii="Times New Roman" w:hAnsi="Times New Roman"/>
            <w:noProof/>
            <w:webHidden/>
            <w:sz w:val="24"/>
            <w:szCs w:val="24"/>
          </w:rPr>
          <w:fldChar w:fldCharType="end"/>
        </w:r>
      </w:hyperlink>
    </w:p>
    <w:p w14:paraId="014AF6A9" w14:textId="0CCF421B" w:rsidR="00E4115B" w:rsidRPr="00E4115B" w:rsidRDefault="00F92C1E">
      <w:pPr>
        <w:pStyle w:val="T2"/>
        <w:tabs>
          <w:tab w:val="left" w:pos="1100"/>
          <w:tab w:val="right" w:leader="dot" w:pos="9062"/>
        </w:tabs>
        <w:rPr>
          <w:rFonts w:ascii="Times New Roman" w:hAnsi="Times New Roman"/>
          <w:noProof/>
          <w:sz w:val="24"/>
          <w:szCs w:val="24"/>
        </w:rPr>
      </w:pPr>
      <w:hyperlink w:anchor="_Toc64755984" w:history="1">
        <w:r w:rsidR="00E4115B" w:rsidRPr="00E4115B">
          <w:rPr>
            <w:rStyle w:val="Kpr"/>
            <w:rFonts w:ascii="Times New Roman" w:hAnsi="Times New Roman"/>
            <w:noProof/>
            <w:sz w:val="24"/>
            <w:szCs w:val="24"/>
          </w:rPr>
          <w:t>15.3.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Ödemeler ve Tahsilat</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46</w:t>
        </w:r>
        <w:r w:rsidR="00E4115B" w:rsidRPr="00E4115B">
          <w:rPr>
            <w:rFonts w:ascii="Times New Roman" w:hAnsi="Times New Roman"/>
            <w:noProof/>
            <w:webHidden/>
            <w:sz w:val="24"/>
            <w:szCs w:val="24"/>
          </w:rPr>
          <w:fldChar w:fldCharType="end"/>
        </w:r>
      </w:hyperlink>
    </w:p>
    <w:p w14:paraId="33E56ADE" w14:textId="3EC7F97E" w:rsidR="00E4115B" w:rsidRPr="00E4115B" w:rsidRDefault="00F92C1E">
      <w:pPr>
        <w:pStyle w:val="T2"/>
        <w:tabs>
          <w:tab w:val="left" w:pos="1100"/>
          <w:tab w:val="right" w:leader="dot" w:pos="9062"/>
        </w:tabs>
        <w:rPr>
          <w:rFonts w:ascii="Times New Roman" w:hAnsi="Times New Roman"/>
          <w:noProof/>
          <w:sz w:val="24"/>
          <w:szCs w:val="24"/>
        </w:rPr>
      </w:pPr>
      <w:hyperlink w:anchor="_Toc64755985" w:history="1">
        <w:r w:rsidR="00E4115B" w:rsidRPr="00E4115B">
          <w:rPr>
            <w:rStyle w:val="Kpr"/>
            <w:rFonts w:ascii="Times New Roman" w:hAnsi="Times New Roman"/>
            <w:noProof/>
            <w:sz w:val="24"/>
            <w:szCs w:val="24"/>
          </w:rPr>
          <w:t>15.4.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Fatura Ödemelerinin Yapılmaması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47</w:t>
        </w:r>
        <w:r w:rsidR="00E4115B" w:rsidRPr="00E4115B">
          <w:rPr>
            <w:rFonts w:ascii="Times New Roman" w:hAnsi="Times New Roman"/>
            <w:noProof/>
            <w:webHidden/>
            <w:sz w:val="24"/>
            <w:szCs w:val="24"/>
          </w:rPr>
          <w:fldChar w:fldCharType="end"/>
        </w:r>
      </w:hyperlink>
    </w:p>
    <w:p w14:paraId="03418658" w14:textId="613A31AC" w:rsidR="00E4115B" w:rsidRPr="00E4115B" w:rsidRDefault="00F92C1E">
      <w:pPr>
        <w:pStyle w:val="T1"/>
        <w:tabs>
          <w:tab w:val="left" w:pos="660"/>
          <w:tab w:val="right" w:leader="dot" w:pos="9062"/>
        </w:tabs>
        <w:rPr>
          <w:rFonts w:ascii="Times New Roman" w:hAnsi="Times New Roman"/>
          <w:noProof/>
          <w:sz w:val="24"/>
          <w:szCs w:val="24"/>
        </w:rPr>
      </w:pPr>
      <w:hyperlink w:anchor="_Toc64755986" w:history="1">
        <w:r w:rsidR="00E4115B" w:rsidRPr="00E4115B">
          <w:rPr>
            <w:rStyle w:val="Kpr"/>
            <w:rFonts w:ascii="Times New Roman" w:hAnsi="Times New Roman"/>
            <w:noProof/>
            <w:sz w:val="24"/>
            <w:szCs w:val="24"/>
          </w:rPr>
          <w:t>16.</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GARANTİ HESABI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48</w:t>
        </w:r>
        <w:r w:rsidR="00E4115B" w:rsidRPr="00E4115B">
          <w:rPr>
            <w:rFonts w:ascii="Times New Roman" w:hAnsi="Times New Roman"/>
            <w:noProof/>
            <w:webHidden/>
            <w:sz w:val="24"/>
            <w:szCs w:val="24"/>
          </w:rPr>
          <w:fldChar w:fldCharType="end"/>
        </w:r>
      </w:hyperlink>
    </w:p>
    <w:p w14:paraId="03CB85B9" w14:textId="1492E338" w:rsidR="00E4115B" w:rsidRPr="00E4115B" w:rsidRDefault="00F92C1E">
      <w:pPr>
        <w:pStyle w:val="T2"/>
        <w:tabs>
          <w:tab w:val="left" w:pos="1100"/>
          <w:tab w:val="right" w:leader="dot" w:pos="9062"/>
        </w:tabs>
        <w:rPr>
          <w:rFonts w:ascii="Times New Roman" w:hAnsi="Times New Roman"/>
          <w:noProof/>
          <w:sz w:val="24"/>
          <w:szCs w:val="24"/>
        </w:rPr>
      </w:pPr>
      <w:hyperlink w:anchor="_Toc64755988" w:history="1">
        <w:r w:rsidR="00E4115B" w:rsidRPr="00E4115B">
          <w:rPr>
            <w:rStyle w:val="Kpr"/>
            <w:rFonts w:ascii="Times New Roman" w:hAnsi="Times New Roman"/>
            <w:noProof/>
            <w:sz w:val="24"/>
            <w:szCs w:val="24"/>
          </w:rPr>
          <w:t>16.1.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Garanti Hesabı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48</w:t>
        </w:r>
        <w:r w:rsidR="00E4115B" w:rsidRPr="00E4115B">
          <w:rPr>
            <w:rFonts w:ascii="Times New Roman" w:hAnsi="Times New Roman"/>
            <w:noProof/>
            <w:webHidden/>
            <w:sz w:val="24"/>
            <w:szCs w:val="24"/>
          </w:rPr>
          <w:fldChar w:fldCharType="end"/>
        </w:r>
      </w:hyperlink>
    </w:p>
    <w:p w14:paraId="31D5B854" w14:textId="07FFED6A" w:rsidR="00E4115B" w:rsidRPr="00E4115B" w:rsidRDefault="00F92C1E">
      <w:pPr>
        <w:pStyle w:val="T2"/>
        <w:tabs>
          <w:tab w:val="left" w:pos="1100"/>
          <w:tab w:val="right" w:leader="dot" w:pos="9062"/>
        </w:tabs>
        <w:rPr>
          <w:rFonts w:ascii="Times New Roman" w:hAnsi="Times New Roman"/>
          <w:noProof/>
          <w:sz w:val="24"/>
          <w:szCs w:val="24"/>
        </w:rPr>
      </w:pPr>
      <w:hyperlink w:anchor="_Toc64755989" w:history="1">
        <w:r w:rsidR="00E4115B" w:rsidRPr="00E4115B">
          <w:rPr>
            <w:rStyle w:val="Kpr"/>
            <w:rFonts w:ascii="Times New Roman" w:hAnsi="Times New Roman"/>
            <w:noProof/>
            <w:sz w:val="24"/>
            <w:szCs w:val="24"/>
          </w:rPr>
          <w:t>16.2.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Garanti Hesabının Büyüklüğü ve Katılımcıların Katkı Payı Miktarı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49</w:t>
        </w:r>
        <w:r w:rsidR="00E4115B" w:rsidRPr="00E4115B">
          <w:rPr>
            <w:rFonts w:ascii="Times New Roman" w:hAnsi="Times New Roman"/>
            <w:noProof/>
            <w:webHidden/>
            <w:sz w:val="24"/>
            <w:szCs w:val="24"/>
          </w:rPr>
          <w:fldChar w:fldCharType="end"/>
        </w:r>
      </w:hyperlink>
    </w:p>
    <w:p w14:paraId="6F0D447C" w14:textId="4088809D" w:rsidR="00E4115B" w:rsidRPr="00E4115B" w:rsidRDefault="00F92C1E">
      <w:pPr>
        <w:pStyle w:val="T2"/>
        <w:tabs>
          <w:tab w:val="left" w:pos="1100"/>
          <w:tab w:val="right" w:leader="dot" w:pos="9062"/>
        </w:tabs>
        <w:rPr>
          <w:rFonts w:ascii="Times New Roman" w:hAnsi="Times New Roman"/>
          <w:noProof/>
          <w:sz w:val="24"/>
          <w:szCs w:val="24"/>
        </w:rPr>
      </w:pPr>
      <w:hyperlink w:anchor="_Toc64755990" w:history="1">
        <w:r w:rsidR="00E4115B" w:rsidRPr="00E4115B">
          <w:rPr>
            <w:rStyle w:val="Kpr"/>
            <w:rFonts w:ascii="Times New Roman" w:hAnsi="Times New Roman"/>
            <w:noProof/>
            <w:sz w:val="24"/>
            <w:szCs w:val="24"/>
          </w:rPr>
          <w:t>16.3.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Garanti Hesabı Katkı Payı Olarak Kabul Edilebilecek Kıymetler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50</w:t>
        </w:r>
        <w:r w:rsidR="00E4115B" w:rsidRPr="00E4115B">
          <w:rPr>
            <w:rFonts w:ascii="Times New Roman" w:hAnsi="Times New Roman"/>
            <w:noProof/>
            <w:webHidden/>
            <w:sz w:val="24"/>
            <w:szCs w:val="24"/>
          </w:rPr>
          <w:fldChar w:fldCharType="end"/>
        </w:r>
      </w:hyperlink>
    </w:p>
    <w:p w14:paraId="6B09376A" w14:textId="505A4589" w:rsidR="00E4115B" w:rsidRPr="00E4115B" w:rsidRDefault="00F92C1E">
      <w:pPr>
        <w:pStyle w:val="T2"/>
        <w:tabs>
          <w:tab w:val="left" w:pos="1100"/>
          <w:tab w:val="right" w:leader="dot" w:pos="9062"/>
        </w:tabs>
        <w:rPr>
          <w:rFonts w:ascii="Times New Roman" w:hAnsi="Times New Roman"/>
          <w:noProof/>
          <w:sz w:val="24"/>
          <w:szCs w:val="24"/>
        </w:rPr>
      </w:pPr>
      <w:hyperlink w:anchor="_Toc64755991" w:history="1">
        <w:r w:rsidR="00E4115B" w:rsidRPr="00E4115B">
          <w:rPr>
            <w:rStyle w:val="Kpr"/>
            <w:rFonts w:ascii="Times New Roman" w:hAnsi="Times New Roman"/>
            <w:noProof/>
            <w:sz w:val="24"/>
            <w:szCs w:val="24"/>
          </w:rPr>
          <w:t>16.4.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Garanti Hesabının Kullanım Esasları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50</w:t>
        </w:r>
        <w:r w:rsidR="00E4115B" w:rsidRPr="00E4115B">
          <w:rPr>
            <w:rFonts w:ascii="Times New Roman" w:hAnsi="Times New Roman"/>
            <w:noProof/>
            <w:webHidden/>
            <w:sz w:val="24"/>
            <w:szCs w:val="24"/>
          </w:rPr>
          <w:fldChar w:fldCharType="end"/>
        </w:r>
      </w:hyperlink>
    </w:p>
    <w:p w14:paraId="5B9FCCC6" w14:textId="215EDDA4" w:rsidR="00E4115B" w:rsidRPr="00E4115B" w:rsidRDefault="00F92C1E">
      <w:pPr>
        <w:pStyle w:val="T2"/>
        <w:tabs>
          <w:tab w:val="left" w:pos="1100"/>
          <w:tab w:val="right" w:leader="dot" w:pos="9062"/>
        </w:tabs>
        <w:rPr>
          <w:rFonts w:ascii="Times New Roman" w:hAnsi="Times New Roman"/>
          <w:noProof/>
          <w:sz w:val="24"/>
          <w:szCs w:val="24"/>
        </w:rPr>
      </w:pPr>
      <w:hyperlink w:anchor="_Toc64755992" w:history="1">
        <w:r w:rsidR="00E4115B" w:rsidRPr="00E4115B">
          <w:rPr>
            <w:rStyle w:val="Kpr"/>
            <w:rFonts w:ascii="Times New Roman" w:hAnsi="Times New Roman"/>
            <w:noProof/>
            <w:sz w:val="24"/>
            <w:szCs w:val="24"/>
          </w:rPr>
          <w:t>16.5.</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Garanti Hesabı Katkı Paylarının İadesi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51</w:t>
        </w:r>
        <w:r w:rsidR="00E4115B" w:rsidRPr="00E4115B">
          <w:rPr>
            <w:rFonts w:ascii="Times New Roman" w:hAnsi="Times New Roman"/>
            <w:noProof/>
            <w:webHidden/>
            <w:sz w:val="24"/>
            <w:szCs w:val="24"/>
          </w:rPr>
          <w:fldChar w:fldCharType="end"/>
        </w:r>
      </w:hyperlink>
    </w:p>
    <w:p w14:paraId="1C7FBE18" w14:textId="2024369F" w:rsidR="00E4115B" w:rsidRPr="00E4115B" w:rsidRDefault="00F92C1E">
      <w:pPr>
        <w:pStyle w:val="T2"/>
        <w:tabs>
          <w:tab w:val="left" w:pos="1100"/>
          <w:tab w:val="right" w:leader="dot" w:pos="9062"/>
        </w:tabs>
        <w:rPr>
          <w:rFonts w:ascii="Times New Roman" w:hAnsi="Times New Roman"/>
          <w:noProof/>
          <w:sz w:val="24"/>
          <w:szCs w:val="24"/>
        </w:rPr>
      </w:pPr>
      <w:hyperlink w:anchor="_Toc64755993" w:history="1">
        <w:r w:rsidR="00E4115B" w:rsidRPr="00E4115B">
          <w:rPr>
            <w:rStyle w:val="Kpr"/>
            <w:rFonts w:ascii="Times New Roman" w:hAnsi="Times New Roman"/>
            <w:noProof/>
            <w:sz w:val="24"/>
            <w:szCs w:val="24"/>
          </w:rPr>
          <w:t>16.6.</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 İşletmecisinin Temerrüt Yönetimi Katkısı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_Toc64755993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51</w:t>
        </w:r>
        <w:r w:rsidR="00E4115B" w:rsidRPr="00E4115B">
          <w:rPr>
            <w:rFonts w:ascii="Times New Roman" w:hAnsi="Times New Roman"/>
            <w:noProof/>
            <w:webHidden/>
            <w:sz w:val="24"/>
            <w:szCs w:val="24"/>
          </w:rPr>
          <w:fldChar w:fldCharType="end"/>
        </w:r>
      </w:hyperlink>
    </w:p>
    <w:p w14:paraId="6BAC635A" w14:textId="28DC025D" w:rsidR="00E4115B" w:rsidRPr="00E4115B" w:rsidRDefault="00F92C1E">
      <w:pPr>
        <w:pStyle w:val="T1"/>
        <w:tabs>
          <w:tab w:val="left" w:pos="660"/>
          <w:tab w:val="right" w:leader="dot" w:pos="9062"/>
        </w:tabs>
        <w:rPr>
          <w:rFonts w:ascii="Times New Roman" w:hAnsi="Times New Roman"/>
          <w:noProof/>
          <w:sz w:val="24"/>
          <w:szCs w:val="24"/>
        </w:rPr>
      </w:pPr>
      <w:hyperlink w:anchor="_Toc64755994" w:history="1">
        <w:r w:rsidR="00E4115B" w:rsidRPr="00E4115B">
          <w:rPr>
            <w:rStyle w:val="Kpr"/>
            <w:rFonts w:ascii="Times New Roman" w:hAnsi="Times New Roman"/>
            <w:noProof/>
            <w:sz w:val="24"/>
            <w:szCs w:val="24"/>
          </w:rPr>
          <w:t>17.</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SON HÜKÜMLER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52</w:t>
        </w:r>
        <w:r w:rsidR="00E4115B" w:rsidRPr="00E4115B">
          <w:rPr>
            <w:rFonts w:ascii="Times New Roman" w:hAnsi="Times New Roman"/>
            <w:noProof/>
            <w:webHidden/>
            <w:sz w:val="24"/>
            <w:szCs w:val="24"/>
          </w:rPr>
          <w:fldChar w:fldCharType="end"/>
        </w:r>
      </w:hyperlink>
    </w:p>
    <w:p w14:paraId="4F6C5C38" w14:textId="6C2CF6F8" w:rsidR="00E4115B" w:rsidRPr="00E4115B" w:rsidRDefault="00F92C1E">
      <w:pPr>
        <w:pStyle w:val="T2"/>
        <w:tabs>
          <w:tab w:val="left" w:pos="1100"/>
          <w:tab w:val="right" w:leader="dot" w:pos="9062"/>
        </w:tabs>
        <w:rPr>
          <w:rFonts w:ascii="Times New Roman" w:hAnsi="Times New Roman"/>
          <w:noProof/>
          <w:sz w:val="24"/>
          <w:szCs w:val="24"/>
        </w:rPr>
      </w:pPr>
      <w:hyperlink w:anchor="_Toc64755996" w:history="1">
        <w:r w:rsidR="00E4115B" w:rsidRPr="00E4115B">
          <w:rPr>
            <w:rStyle w:val="Kpr"/>
            <w:rFonts w:ascii="Times New Roman" w:hAnsi="Times New Roman"/>
            <w:noProof/>
            <w:sz w:val="24"/>
            <w:szCs w:val="24"/>
          </w:rPr>
          <w:t>17.1.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Alacağın Devri ve Rehni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52</w:t>
        </w:r>
        <w:r w:rsidR="00E4115B" w:rsidRPr="00E4115B">
          <w:rPr>
            <w:rFonts w:ascii="Times New Roman" w:hAnsi="Times New Roman"/>
            <w:noProof/>
            <w:webHidden/>
            <w:sz w:val="24"/>
            <w:szCs w:val="24"/>
          </w:rPr>
          <w:fldChar w:fldCharType="end"/>
        </w:r>
      </w:hyperlink>
    </w:p>
    <w:p w14:paraId="0B1AB92C" w14:textId="1802EE2C" w:rsidR="00E4115B" w:rsidRPr="00E4115B" w:rsidRDefault="00F92C1E">
      <w:pPr>
        <w:pStyle w:val="T2"/>
        <w:tabs>
          <w:tab w:val="left" w:pos="1100"/>
          <w:tab w:val="right" w:leader="dot" w:pos="9062"/>
        </w:tabs>
        <w:rPr>
          <w:rFonts w:ascii="Times New Roman" w:hAnsi="Times New Roman"/>
          <w:noProof/>
          <w:sz w:val="24"/>
          <w:szCs w:val="24"/>
        </w:rPr>
      </w:pPr>
      <w:hyperlink w:anchor="_Toc64755997" w:history="1">
        <w:r w:rsidR="00E4115B" w:rsidRPr="00E4115B">
          <w:rPr>
            <w:rStyle w:val="Kpr"/>
            <w:rFonts w:ascii="Times New Roman" w:hAnsi="Times New Roman"/>
            <w:noProof/>
            <w:sz w:val="24"/>
            <w:szCs w:val="24"/>
          </w:rPr>
          <w:t>17.2.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Sanal Uygulama ve VGP’nin Faaliyete Geçmesi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52</w:t>
        </w:r>
        <w:r w:rsidR="00E4115B" w:rsidRPr="00E4115B">
          <w:rPr>
            <w:rFonts w:ascii="Times New Roman" w:hAnsi="Times New Roman"/>
            <w:noProof/>
            <w:webHidden/>
            <w:sz w:val="24"/>
            <w:szCs w:val="24"/>
          </w:rPr>
          <w:fldChar w:fldCharType="end"/>
        </w:r>
      </w:hyperlink>
    </w:p>
    <w:p w14:paraId="1B3E84E2" w14:textId="650BF49D" w:rsidR="00E4115B" w:rsidRPr="00E4115B" w:rsidRDefault="00F92C1E">
      <w:pPr>
        <w:pStyle w:val="T2"/>
        <w:tabs>
          <w:tab w:val="left" w:pos="1100"/>
          <w:tab w:val="right" w:leader="dot" w:pos="9062"/>
        </w:tabs>
        <w:rPr>
          <w:rFonts w:ascii="Times New Roman" w:hAnsi="Times New Roman"/>
          <w:noProof/>
          <w:sz w:val="24"/>
          <w:szCs w:val="24"/>
        </w:rPr>
      </w:pPr>
      <w:hyperlink w:anchor="_Toc64755998" w:history="1">
        <w:r w:rsidR="00E4115B" w:rsidRPr="00E4115B">
          <w:rPr>
            <w:rStyle w:val="Kpr"/>
            <w:rFonts w:ascii="Times New Roman" w:hAnsi="Times New Roman"/>
            <w:noProof/>
            <w:sz w:val="24"/>
            <w:szCs w:val="24"/>
          </w:rPr>
          <w:t>17.3.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Yürürlük</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52</w:t>
        </w:r>
        <w:r w:rsidR="00E4115B" w:rsidRPr="00E4115B">
          <w:rPr>
            <w:rFonts w:ascii="Times New Roman" w:hAnsi="Times New Roman"/>
            <w:noProof/>
            <w:webHidden/>
            <w:sz w:val="24"/>
            <w:szCs w:val="24"/>
          </w:rPr>
          <w:fldChar w:fldCharType="end"/>
        </w:r>
      </w:hyperlink>
    </w:p>
    <w:p w14:paraId="487C98E9" w14:textId="167BD0E6" w:rsidR="00E4115B" w:rsidRPr="00E4115B" w:rsidRDefault="00F92C1E">
      <w:pPr>
        <w:pStyle w:val="T2"/>
        <w:tabs>
          <w:tab w:val="left" w:pos="1100"/>
          <w:tab w:val="right" w:leader="dot" w:pos="9062"/>
        </w:tabs>
        <w:rPr>
          <w:rFonts w:ascii="Times New Roman" w:hAnsi="Times New Roman"/>
          <w:noProof/>
          <w:sz w:val="24"/>
          <w:szCs w:val="24"/>
        </w:rPr>
      </w:pPr>
      <w:hyperlink w:anchor="_Toc64755999" w:history="1">
        <w:r w:rsidR="00E4115B" w:rsidRPr="00E4115B">
          <w:rPr>
            <w:rStyle w:val="Kpr"/>
            <w:rFonts w:ascii="Times New Roman" w:hAnsi="Times New Roman"/>
            <w:noProof/>
            <w:sz w:val="24"/>
            <w:szCs w:val="24"/>
          </w:rPr>
          <w:t>17.4.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Yürütme</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52</w:t>
        </w:r>
        <w:r w:rsidR="00E4115B" w:rsidRPr="00E4115B">
          <w:rPr>
            <w:rFonts w:ascii="Times New Roman" w:hAnsi="Times New Roman"/>
            <w:noProof/>
            <w:webHidden/>
            <w:sz w:val="24"/>
            <w:szCs w:val="24"/>
          </w:rPr>
          <w:fldChar w:fldCharType="end"/>
        </w:r>
      </w:hyperlink>
    </w:p>
    <w:p w14:paraId="6F02EF12" w14:textId="77777777" w:rsidR="00523BE6" w:rsidRPr="00E4115B" w:rsidRDefault="00E4115B" w:rsidP="00C63473">
      <w:pPr>
        <w:jc w:val="both"/>
        <w:rPr>
          <w:rFonts w:ascii="Times New Roman" w:hAnsi="Times New Roman" w:cs="Times New Roman"/>
          <w:b/>
          <w:sz w:val="24"/>
          <w:szCs w:val="24"/>
        </w:rPr>
      </w:pPr>
      <w:r w:rsidRPr="00E4115B">
        <w:rPr>
          <w:rFonts w:ascii="Times New Roman" w:hAnsi="Times New Roman" w:cs="Times New Roman"/>
          <w:b/>
          <w:sz w:val="24"/>
          <w:szCs w:val="24"/>
        </w:rPr>
        <w:fldChar w:fldCharType="end"/>
      </w:r>
    </w:p>
    <w:p w14:paraId="5E9A69DE" w14:textId="77777777" w:rsidR="00955944" w:rsidRPr="00E4115B" w:rsidRDefault="00955944" w:rsidP="004A35D9">
      <w:pPr>
        <w:pStyle w:val="Balk1"/>
      </w:pPr>
      <w:bookmarkStart w:id="1" w:name="_Toc59547230"/>
      <w:bookmarkStart w:id="2" w:name="_Toc64755899"/>
      <w:bookmarkStart w:id="3" w:name="_Toc493769667"/>
      <w:r w:rsidRPr="00E4115B">
        <w:t>AMAÇ, KAPSAM VE DAYANAK</w:t>
      </w:r>
      <w:bookmarkEnd w:id="1"/>
      <w:bookmarkEnd w:id="2"/>
    </w:p>
    <w:p w14:paraId="64DC4BE1" w14:textId="77777777" w:rsidR="00C63473" w:rsidRPr="00E4115B" w:rsidRDefault="00955944" w:rsidP="00C63473">
      <w:pPr>
        <w:pStyle w:val="Balk2"/>
      </w:pPr>
      <w:bookmarkStart w:id="4" w:name="_Toc59547231"/>
      <w:bookmarkStart w:id="5" w:name="_Toc64755900"/>
      <w:bookmarkEnd w:id="3"/>
      <w:r w:rsidRPr="00E4115B">
        <w:t>Amaç ve Kapsam</w:t>
      </w:r>
      <w:bookmarkEnd w:id="4"/>
      <w:bookmarkEnd w:id="5"/>
    </w:p>
    <w:p w14:paraId="7257D598" w14:textId="77777777" w:rsidR="00C63473" w:rsidRPr="00E4115B" w:rsidRDefault="00955944" w:rsidP="00C63473">
      <w:pPr>
        <w:pStyle w:val="Balk3"/>
        <w:ind w:left="0" w:hanging="11"/>
        <w:rPr>
          <w:b w:val="0"/>
        </w:rPr>
      </w:pPr>
      <w:r w:rsidRPr="00E4115B">
        <w:rPr>
          <w:b w:val="0"/>
        </w:rPr>
        <w:t xml:space="preserve">Bu Usul ve Esasların amacı, vadeli doğal gaz ürünlerinin Enerji Piyasaları İşletme Anonim Şirketi (EPİAŞ) bünyesinde güvenilir, şeffaf, etkin, istikrarlı, adil ve rekabetçi bir ortamda işlem görmesine ilişkin hususlar ile 31/3/2017 tarihli ve 30024 sayılı Resmi Gazete’de yayımlanan Organize Toptan Doğal Gaz </w:t>
      </w:r>
      <w:r w:rsidR="00C63473" w:rsidRPr="00E4115B">
        <w:rPr>
          <w:b w:val="0"/>
        </w:rPr>
        <w:t xml:space="preserve">Satış </w:t>
      </w:r>
      <w:r w:rsidRPr="00E4115B">
        <w:rPr>
          <w:b w:val="0"/>
        </w:rPr>
        <w:t>Piyasası Yönetmeliği’nde bu Usul ve Esaslara bırakılan hususları düzenlemektir.</w:t>
      </w:r>
    </w:p>
    <w:p w14:paraId="2EAA26C6" w14:textId="77777777" w:rsidR="00955944" w:rsidRPr="00E4115B" w:rsidRDefault="00955944" w:rsidP="00C63473">
      <w:pPr>
        <w:pStyle w:val="Balk3"/>
        <w:ind w:left="0" w:hanging="11"/>
        <w:rPr>
          <w:b w:val="0"/>
        </w:rPr>
      </w:pPr>
      <w:r w:rsidRPr="00E4115B">
        <w:rPr>
          <w:b w:val="0"/>
        </w:rPr>
        <w:t>Bu Usul ve Esaslar; piyasa işletmecisinin, merkezi uzlaştırma kuruluşunun ve piyasa katılımcılarının vadeli doğal gaz piyasasına dair hak ve yükümlülüklerine, vadeli doğal gaz piyasasında gerçekleştirilen işlemlere, uzlaştırma, fatura ve ödeme işlemlerine, teminat ve temerrüt yönetimi ile temerrüt garanti hesabına ilişkin usul ve esasları kapsar.</w:t>
      </w:r>
    </w:p>
    <w:p w14:paraId="509E4BD3" w14:textId="77777777" w:rsidR="00955944" w:rsidRPr="00E4115B" w:rsidRDefault="00955944" w:rsidP="00C63473">
      <w:pPr>
        <w:pStyle w:val="Balk2"/>
      </w:pPr>
      <w:bookmarkStart w:id="6" w:name="_Toc59547232"/>
      <w:bookmarkStart w:id="7" w:name="_Toc64755901"/>
      <w:r w:rsidRPr="00E4115B">
        <w:t>Dayanak</w:t>
      </w:r>
      <w:bookmarkEnd w:id="6"/>
      <w:bookmarkEnd w:id="7"/>
    </w:p>
    <w:p w14:paraId="63CFCBF2" w14:textId="77777777" w:rsidR="00955944" w:rsidRDefault="00955944" w:rsidP="00C63473">
      <w:pPr>
        <w:pStyle w:val="Balk3"/>
        <w:ind w:left="0" w:hanging="11"/>
        <w:rPr>
          <w:b w:val="0"/>
        </w:rPr>
      </w:pPr>
      <w:r w:rsidRPr="00E4115B">
        <w:rPr>
          <w:b w:val="0"/>
        </w:rPr>
        <w:t>Bu Usul ve Esaslar, 31/3/2017 tarihli ve 30024 sayılı Resmi Gazete’de yayımlanan Organize Toptan Doğal Gaz Satış Piyasası Yönetmeliği’ne dayanılarak çıkarılmıştır.</w:t>
      </w:r>
    </w:p>
    <w:p w14:paraId="35CFEB24" w14:textId="77777777" w:rsidR="004A35D9" w:rsidRPr="004A35D9" w:rsidRDefault="004A35D9" w:rsidP="004A35D9"/>
    <w:p w14:paraId="047C90F5" w14:textId="77777777" w:rsidR="00C63473" w:rsidRPr="00E4115B" w:rsidRDefault="00955944" w:rsidP="004A35D9">
      <w:pPr>
        <w:pStyle w:val="Balk1"/>
      </w:pPr>
      <w:bookmarkStart w:id="8" w:name="_Toc64755902"/>
      <w:r w:rsidRPr="00E4115B">
        <w:lastRenderedPageBreak/>
        <w:t>TANIMLAR VE KISALTMALAR</w:t>
      </w:r>
      <w:bookmarkEnd w:id="8"/>
      <w:r w:rsidRPr="00E4115B">
        <w:t xml:space="preserve"> </w:t>
      </w:r>
    </w:p>
    <w:p w14:paraId="39D1C86B" w14:textId="77777777" w:rsidR="00955944" w:rsidRPr="004A35D9" w:rsidRDefault="00955944" w:rsidP="004A35D9">
      <w:pPr>
        <w:pStyle w:val="Balk2"/>
        <w:ind w:left="0" w:firstLine="1"/>
        <w:rPr>
          <w:b w:val="0"/>
        </w:rPr>
      </w:pPr>
      <w:bookmarkStart w:id="9" w:name="_Toc64755903"/>
      <w:bookmarkStart w:id="10" w:name="_Toc64755904"/>
      <w:bookmarkEnd w:id="9"/>
      <w:r w:rsidRPr="004A35D9">
        <w:rPr>
          <w:b w:val="0"/>
        </w:rPr>
        <w:t>Bu Usul ve Esaslarda geçmekle birlikte aşağıda tanımlanmamış diğer kavram ve kısaltmalar, ilgili mevzuattaki anlam ve kapsama sahiptir. Bu Usul ve Esaslarda geçen;</w:t>
      </w:r>
      <w:bookmarkEnd w:id="10"/>
    </w:p>
    <w:p w14:paraId="40027A4D" w14:textId="77777777" w:rsidR="00955944" w:rsidRPr="00E4115B" w:rsidRDefault="00955944" w:rsidP="00C63473">
      <w:pPr>
        <w:autoSpaceDE w:val="0"/>
        <w:autoSpaceDN w:val="0"/>
        <w:adjustRightInd w:val="0"/>
        <w:spacing w:after="240"/>
        <w:jc w:val="both"/>
        <w:rPr>
          <w:rFonts w:ascii="Times New Roman" w:eastAsia="Calibri" w:hAnsi="Times New Roman" w:cs="Times New Roman"/>
          <w:sz w:val="24"/>
          <w:szCs w:val="24"/>
        </w:rPr>
      </w:pPr>
      <w:r w:rsidRPr="00E4115B">
        <w:rPr>
          <w:rFonts w:ascii="Times New Roman" w:eastAsia="Calibri" w:hAnsi="Times New Roman" w:cs="Times New Roman"/>
          <w:sz w:val="24"/>
          <w:szCs w:val="24"/>
        </w:rPr>
        <w:t xml:space="preserve">a. Açık pozisyon: Piyasada gerçekleştirilen işlemler neticesinde veya ilgili mevzuatta belirtilen yöntemlerle oluşan ve ters işlemle, </w:t>
      </w:r>
      <w:r w:rsidRPr="004A35D9">
        <w:rPr>
          <w:rFonts w:ascii="Times New Roman" w:eastAsia="Calibri" w:hAnsi="Times New Roman" w:cs="Times New Roman"/>
          <w:sz w:val="24"/>
          <w:szCs w:val="24"/>
        </w:rPr>
        <w:t>fiziksel</w:t>
      </w:r>
      <w:r w:rsidRPr="00E4115B">
        <w:rPr>
          <w:rFonts w:ascii="Times New Roman" w:eastAsia="Calibri" w:hAnsi="Times New Roman" w:cs="Times New Roman"/>
          <w:sz w:val="24"/>
          <w:szCs w:val="24"/>
        </w:rPr>
        <w:t xml:space="preserve"> teslimatla veya bu Usul ve Esaslarda belirtilen diğer yöntemlerle kapatılmamış olan pozisyonları, </w:t>
      </w:r>
    </w:p>
    <w:p w14:paraId="3A1AB61D" w14:textId="77777777" w:rsidR="00955944" w:rsidRPr="00E4115B" w:rsidRDefault="00955944" w:rsidP="00C63473">
      <w:pPr>
        <w:pStyle w:val="Default"/>
        <w:spacing w:after="240"/>
        <w:jc w:val="both"/>
        <w:rPr>
          <w:color w:val="auto"/>
        </w:rPr>
      </w:pPr>
      <w:r w:rsidRPr="00E4115B">
        <w:rPr>
          <w:color w:val="auto"/>
        </w:rPr>
        <w:t xml:space="preserve">b. Açılış fiyatı: Her bir kontratın, ilk işleme açıldığı gün veya bir kontratın işlem görmesinin geçici olarak durdurulması halinde yeniden işleme açılması sırasında belirlenen baz fiyatını, ilk işlem gününden sonraki işlem günlerinde ise ilan edilen son günlük gösterge fiyatını, </w:t>
      </w:r>
    </w:p>
    <w:p w14:paraId="2DC93DB8"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 Baz fiyat: Her bir kontratın işleme açıldığı ilk gün için teklif girilebilecek fiyat aralığının hesaplanmasında kullanılan veya bir kontratın işlem görmesinin geçici olarak durdurulması halinde yeniden işleme açılması sırasında belirlenen fiyatı,</w:t>
      </w:r>
    </w:p>
    <w:p w14:paraId="1C5184C0"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ç. BOTAŞ İletim Şebekesi İşleyiş Düzenlemelerine İlişkin Esaslar (ŞİD): 26/10/2002 tarihli ve 24918 sayılı Resmi Gazete’de yayımlanan Doğal Gaz Piyasası İletim Şebekesi İşleyiş Yönetmeliği gereğince, iletim şirketi tarafından hazırlanan ve iletim hizmetine ilişkin olarak iletim şirketi ile taşıtanlar arasındaki ilişkileri düzenleyen uygulama esaslarını, </w:t>
      </w:r>
    </w:p>
    <w:p w14:paraId="7E5E8978"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d. Elektronik bülten tablosu (EBT): Piyasada faaliyet gösteren tarafların piyasa hareketlerini takip edebilmeleri için kurulmuş olan ve iletim şirketince işletilen elektronik duyuru panosunu, </w:t>
      </w:r>
    </w:p>
    <w:p w14:paraId="0BCCCAFD"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e. Fatura dönemi: Bir takvim ayının ilk günü saat 08:00’da başlayıp, bir sonraki ayın ilk günü saat 08:00’da sona eren süreyi, </w:t>
      </w:r>
    </w:p>
    <w:p w14:paraId="4A941244"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f. Finansal dönem: Vadeli Doğal Gaz Piyasası (VGP)’nda işleme açılan kontratların kapı kapanış zamanına kadar olan dönemi, </w:t>
      </w:r>
    </w:p>
    <w:p w14:paraId="2D8DAA0C"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g. Fiziksel dönem: VGP’de işleme açılan kontratların kapı kapanış zamanından fiziksel teslimat yükümlülüğünün yerine getirildiği zamana kadar olan dönemi, </w:t>
      </w:r>
    </w:p>
    <w:p w14:paraId="2EC1650E"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ğ. </w:t>
      </w:r>
      <w:r w:rsidR="00B1610C" w:rsidRPr="00E4115B">
        <w:rPr>
          <w:rFonts w:ascii="Times New Roman" w:hAnsi="Times New Roman" w:cs="Times New Roman"/>
          <w:sz w:val="24"/>
          <w:szCs w:val="24"/>
        </w:rPr>
        <w:t xml:space="preserve">Fiziksel teslimat dönemi: </w:t>
      </w:r>
      <w:r w:rsidRPr="00E4115B">
        <w:rPr>
          <w:rFonts w:ascii="Times New Roman" w:hAnsi="Times New Roman" w:cs="Times New Roman"/>
          <w:sz w:val="24"/>
          <w:szCs w:val="24"/>
        </w:rPr>
        <w:t xml:space="preserve">VGP’de işleme açılan kontratların fiziksel teslimat yükümlülüğünün olduğu dönemi, </w:t>
      </w:r>
    </w:p>
    <w:p w14:paraId="4C4E83A1"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h. Gaz günü (G): Saat 08:00’da başlayıp ertesi gün saat 08:00’da sona eren 24 saatlik zaman dilimini, </w:t>
      </w:r>
    </w:p>
    <w:p w14:paraId="7B1CA481"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ı. Gaz yılı: İlgili yılın ilk takvim günü saat 08:00’da başlayan ve takip eden yılın ilk takvim günü saat 08:00’da biten dönemi,</w:t>
      </w:r>
    </w:p>
    <w:p w14:paraId="14DFF415"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i. Günlük gösterge fiyatı (GGF): Piyasa işletmecisi tarafından işleme açılan her bir kontrat için bu Usul ve Esaslarda belirtilen esaslar çerçevesinde belirlenen fiyatı,</w:t>
      </w:r>
    </w:p>
    <w:p w14:paraId="6EA38FFC" w14:textId="7C7F48CF"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j.</w:t>
      </w:r>
      <w:r w:rsidR="00B1610C" w:rsidRPr="00E4115B">
        <w:rPr>
          <w:rFonts w:ascii="Times New Roman" w:hAnsi="Times New Roman" w:cs="Times New Roman"/>
          <w:sz w:val="24"/>
          <w:szCs w:val="24"/>
        </w:rPr>
        <w:t xml:space="preserve"> </w:t>
      </w:r>
      <w:r w:rsidRPr="00E4115B">
        <w:rPr>
          <w:rFonts w:ascii="Times New Roman" w:hAnsi="Times New Roman" w:cs="Times New Roman"/>
          <w:sz w:val="24"/>
          <w:szCs w:val="24"/>
        </w:rPr>
        <w:t xml:space="preserve">İlgili mevzuat: Doğal gaz piyasasına ilişkin kanun, yönetmelik, </w:t>
      </w:r>
      <w:r w:rsidR="0091393A">
        <w:rPr>
          <w:rFonts w:ascii="Times New Roman" w:hAnsi="Times New Roman" w:cs="Times New Roman"/>
          <w:sz w:val="24"/>
          <w:szCs w:val="24"/>
        </w:rPr>
        <w:t>Cumhurbaşkanı kararları,</w:t>
      </w:r>
      <w:r w:rsidR="004C5107">
        <w:rPr>
          <w:rFonts w:ascii="Times New Roman" w:hAnsi="Times New Roman" w:cs="Times New Roman"/>
          <w:sz w:val="24"/>
          <w:szCs w:val="24"/>
        </w:rPr>
        <w:t xml:space="preserve"> </w:t>
      </w:r>
      <w:r w:rsidRPr="00E4115B">
        <w:rPr>
          <w:rFonts w:ascii="Times New Roman" w:hAnsi="Times New Roman" w:cs="Times New Roman"/>
          <w:sz w:val="24"/>
          <w:szCs w:val="24"/>
        </w:rPr>
        <w:t>tebliğ, kurul kararları</w:t>
      </w:r>
      <w:r w:rsidR="003A6B2B">
        <w:rPr>
          <w:rFonts w:ascii="Times New Roman" w:hAnsi="Times New Roman" w:cs="Times New Roman"/>
          <w:sz w:val="24"/>
          <w:szCs w:val="24"/>
        </w:rPr>
        <w:t xml:space="preserve"> ve</w:t>
      </w:r>
      <w:r w:rsidR="00681BF6">
        <w:rPr>
          <w:rFonts w:ascii="Times New Roman" w:hAnsi="Times New Roman" w:cs="Times New Roman"/>
          <w:sz w:val="24"/>
          <w:szCs w:val="24"/>
        </w:rPr>
        <w:t xml:space="preserve"> </w:t>
      </w:r>
      <w:r w:rsidRPr="00E4115B">
        <w:rPr>
          <w:rFonts w:ascii="Times New Roman" w:hAnsi="Times New Roman" w:cs="Times New Roman"/>
          <w:sz w:val="24"/>
          <w:szCs w:val="24"/>
        </w:rPr>
        <w:t>genelge</w:t>
      </w:r>
      <w:r w:rsidR="003A6B2B">
        <w:rPr>
          <w:rFonts w:ascii="Times New Roman" w:hAnsi="Times New Roman" w:cs="Times New Roman"/>
          <w:sz w:val="24"/>
          <w:szCs w:val="24"/>
        </w:rPr>
        <w:t>yi</w:t>
      </w:r>
      <w:r w:rsidRPr="00E4115B">
        <w:rPr>
          <w:rFonts w:ascii="Times New Roman" w:hAnsi="Times New Roman" w:cs="Times New Roman"/>
          <w:sz w:val="24"/>
          <w:szCs w:val="24"/>
        </w:rPr>
        <w:t>,</w:t>
      </w:r>
    </w:p>
    <w:p w14:paraId="13D7A5E5"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k. İşlem görme: Piyasa işletmecisinin farklı teslimat dönemlerinde işleme açtığı kontratların piyasada alım satıma konu olmasını,</w:t>
      </w:r>
    </w:p>
    <w:p w14:paraId="5303F2AB"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l.</w:t>
      </w:r>
      <w:r w:rsidRPr="00E4115B">
        <w:rPr>
          <w:rFonts w:ascii="Times New Roman" w:eastAsia="Calibri" w:hAnsi="Times New Roman" w:cs="Times New Roman"/>
          <w:sz w:val="24"/>
          <w:szCs w:val="24"/>
        </w:rPr>
        <w:t xml:space="preserve"> </w:t>
      </w:r>
      <w:r w:rsidRPr="00E4115B">
        <w:rPr>
          <w:rFonts w:ascii="Times New Roman" w:hAnsi="Times New Roman" w:cs="Times New Roman"/>
          <w:sz w:val="24"/>
          <w:szCs w:val="24"/>
        </w:rPr>
        <w:t xml:space="preserve">İşlem günü: Piyasaların işlem yapılmak üzere açık olduğu günleri, </w:t>
      </w:r>
    </w:p>
    <w:p w14:paraId="598177F7"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m. Kesinleşmiş net pozisyon: Piyasa katılımcılarının fiziksel teslimat dönemi başlamış olan her bir gaz günü için, mevcut tüm VGP kontratlarında ticari işlem onayı almış tüm kısa ve uzun pozisyonlarının netleştirilmesiyle iletim şirketine gönderilmek üzere hesaplanan miktarları,</w:t>
      </w:r>
    </w:p>
    <w:p w14:paraId="56E42382"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n. Kısa pozisyon: Sahibine, VGP’de yapılan işlemlerde, kontratın teslimat dönemi geldiğinde doğal gazı belirli bir fiyattan ve belirli bir miktarda teslim etme yükümlülüğü veren pozisyonu,</w:t>
      </w:r>
    </w:p>
    <w:p w14:paraId="093317D5"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o.  Kontrat: Belirli bir teslimat döneminde doğal gazı eşleşilen fiyat üzerinden teslim alma veya teslim etme yükümlülüğü doğuran sözleşmeyi,</w:t>
      </w:r>
    </w:p>
    <w:p w14:paraId="0826058C"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ö.</w:t>
      </w:r>
      <w:r w:rsidR="00B1610C" w:rsidRPr="00E4115B">
        <w:rPr>
          <w:rFonts w:ascii="Times New Roman" w:hAnsi="Times New Roman" w:cs="Times New Roman"/>
          <w:sz w:val="24"/>
          <w:szCs w:val="24"/>
        </w:rPr>
        <w:t xml:space="preserve"> </w:t>
      </w:r>
      <w:r w:rsidRPr="00E4115B">
        <w:rPr>
          <w:rFonts w:ascii="Times New Roman" w:hAnsi="Times New Roman" w:cs="Times New Roman"/>
          <w:sz w:val="24"/>
          <w:szCs w:val="24"/>
        </w:rPr>
        <w:t>Kontrat kapı kapanışı: Kontratların son işlem günü seans sonunu,</w:t>
      </w:r>
    </w:p>
    <w:p w14:paraId="35AF840E"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p.</w:t>
      </w:r>
      <w:r w:rsidRPr="00E4115B">
        <w:rPr>
          <w:rFonts w:ascii="Times New Roman" w:eastAsia="Calibri" w:hAnsi="Times New Roman" w:cs="Times New Roman"/>
          <w:sz w:val="24"/>
          <w:szCs w:val="24"/>
        </w:rPr>
        <w:t xml:space="preserve"> </w:t>
      </w:r>
      <w:r w:rsidRPr="00E4115B">
        <w:rPr>
          <w:rFonts w:ascii="Times New Roman" w:hAnsi="Times New Roman" w:cs="Times New Roman"/>
          <w:sz w:val="24"/>
          <w:szCs w:val="24"/>
        </w:rPr>
        <w:t xml:space="preserve">Kurul: Enerji Piyasası Düzenleme Kurulunu, </w:t>
      </w:r>
    </w:p>
    <w:p w14:paraId="2969EFC5"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r.  Kurum: Enerji Piyasası Düzenleme Kurumunu, </w:t>
      </w:r>
    </w:p>
    <w:p w14:paraId="60201482"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s.  Merkezi karşı taraf: Enerji Piyasaları İşletme Anonim Şirketi (EPİAŞ)’ni,</w:t>
      </w:r>
    </w:p>
    <w:p w14:paraId="49BFA50E" w14:textId="77777777" w:rsidR="00955944" w:rsidRPr="00E4115B" w:rsidRDefault="00955944" w:rsidP="00C63473">
      <w:pPr>
        <w:pStyle w:val="Default"/>
        <w:spacing w:after="240"/>
        <w:jc w:val="both"/>
        <w:rPr>
          <w:color w:val="auto"/>
        </w:rPr>
      </w:pPr>
      <w:r w:rsidRPr="00E4115B">
        <w:rPr>
          <w:color w:val="auto"/>
        </w:rPr>
        <w:t xml:space="preserve">ş. Merkezi karşı taraf hizmeti: Alıcıya karşı satıcı, satıcıya karşı da alıcı rolünü üstlenerek takasın tamamlanmasını taahhüt eden merkezi karşı taraf hizmetini, </w:t>
      </w:r>
    </w:p>
    <w:p w14:paraId="582BDE28"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t.  Merkezi uzlaştırma kuruluşu: Piyasa katılımcıları arasındaki ilgili mevzuat ile belirlenen mali işlemleri yürütmek üzere kullanılan, 6/12/2012 tarihli ve 6362 sayılı Sermaye Piyasası Kanununa göre merkezi takas kuruluşu olarak yetkilendirilen kuruluşu, </w:t>
      </w:r>
    </w:p>
    <w:p w14:paraId="25F676BB"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u. Net pozisyon: Piyasa katılımcılarının mevcut tüm VGP kontratlarında ticari işlem onayı almış tüm kısa ve uzun pozisyonlarının netleştirilmesiyle hesaplanan miktarları,</w:t>
      </w:r>
    </w:p>
    <w:p w14:paraId="7B35A15F"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ü. Organize Toptan Doğal Gaz Satış Piyasası (OTSP): Doğal gaz sisteminden yararlanan lisans sahiplerince doğal gazın alım-satımının ve dengeleme işlemlerinin yapıldığı piyasalar, ileri tarihli fiziksel teslimat gerektiren doğal gaz piyasaları ve Kurul tarafından belirlenen diğer doğal gaz piyasası işlemlerinin gerçekleştirildiği, Kurul tarafından düzenlenen piyasayı, </w:t>
      </w:r>
    </w:p>
    <w:p w14:paraId="537CB79D" w14:textId="77777777" w:rsidR="00955944" w:rsidRPr="00E4115B" w:rsidRDefault="00955944" w:rsidP="00C63473">
      <w:pPr>
        <w:spacing w:line="276" w:lineRule="auto"/>
        <w:jc w:val="both"/>
        <w:rPr>
          <w:rFonts w:ascii="Times New Roman" w:hAnsi="Times New Roman" w:cs="Times New Roman"/>
          <w:sz w:val="24"/>
          <w:szCs w:val="24"/>
        </w:rPr>
      </w:pPr>
      <w:r w:rsidRPr="00E4115B">
        <w:rPr>
          <w:rFonts w:ascii="Times New Roman" w:eastAsia="Times New Roman" w:hAnsi="Times New Roman" w:cs="Times New Roman"/>
          <w:sz w:val="24"/>
          <w:szCs w:val="24"/>
          <w:lang w:eastAsia="tr-TR"/>
        </w:rPr>
        <w:t xml:space="preserve">v. </w:t>
      </w:r>
      <w:r w:rsidRPr="00E4115B">
        <w:rPr>
          <w:rFonts w:ascii="Times New Roman" w:hAnsi="Times New Roman" w:cs="Times New Roman"/>
          <w:sz w:val="24"/>
          <w:szCs w:val="24"/>
        </w:rPr>
        <w:t xml:space="preserve">Piyasa İşletim Usul ve Esasları (PUE): Yönetmelik </w:t>
      </w:r>
      <w:r w:rsidR="005A22F3" w:rsidRPr="00E4115B">
        <w:rPr>
          <w:rFonts w:ascii="Times New Roman" w:hAnsi="Times New Roman" w:cs="Times New Roman"/>
          <w:sz w:val="24"/>
          <w:szCs w:val="24"/>
        </w:rPr>
        <w:t xml:space="preserve">ve ilgili mevzuat doğrultusunda </w:t>
      </w:r>
      <w:r w:rsidRPr="00E4115B">
        <w:rPr>
          <w:rFonts w:ascii="Times New Roman" w:hAnsi="Times New Roman" w:cs="Times New Roman"/>
          <w:sz w:val="24"/>
          <w:szCs w:val="24"/>
        </w:rPr>
        <w:t>organize toptan doğal gaz satış piyasasının işletilmesine ilişkin usul ve esasları,</w:t>
      </w:r>
    </w:p>
    <w:p w14:paraId="729CF6D8" w14:textId="77777777" w:rsidR="00955944" w:rsidRPr="00E4115B" w:rsidRDefault="00955944" w:rsidP="00C63473">
      <w:pPr>
        <w:autoSpaceDE w:val="0"/>
        <w:autoSpaceDN w:val="0"/>
        <w:adjustRightInd w:val="0"/>
        <w:spacing w:after="240"/>
        <w:jc w:val="both"/>
        <w:rPr>
          <w:rFonts w:ascii="Times New Roman" w:eastAsia="Calibri" w:hAnsi="Times New Roman" w:cs="Times New Roman"/>
          <w:sz w:val="24"/>
          <w:szCs w:val="24"/>
        </w:rPr>
      </w:pPr>
      <w:r w:rsidRPr="00E4115B">
        <w:rPr>
          <w:rFonts w:ascii="Times New Roman" w:hAnsi="Times New Roman" w:cs="Times New Roman"/>
          <w:sz w:val="24"/>
          <w:szCs w:val="24"/>
        </w:rPr>
        <w:t>y.</w:t>
      </w:r>
      <w:r w:rsidRPr="00E4115B">
        <w:rPr>
          <w:rFonts w:ascii="Times New Roman" w:eastAsia="Calibri" w:hAnsi="Times New Roman" w:cs="Times New Roman"/>
          <w:sz w:val="24"/>
          <w:szCs w:val="24"/>
        </w:rPr>
        <w:t xml:space="preserve"> Piyasa işletim ücreti (PİÜ): Piyasa işletmecisinin yürüttüğü hizmetlere ilişkin piyasa katılımcılarından alınan ücreti, </w:t>
      </w:r>
    </w:p>
    <w:p w14:paraId="0AB6C37E"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z. Piyasa işletmecisi: Enerji Piyasaları İşletme Anonim Şirketi (EPİAŞ)’ni, </w:t>
      </w:r>
    </w:p>
    <w:p w14:paraId="2076788A"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aa. Piyasa işletmecisi temerrüt yönetimi katkısı: Piyasa işletmecisinin işlettiği veya mali uzlaştırma işlemlerini yürüttüğü ve merkezi karşı taraf olarak hizmet sunduğu vadeli doğal gaz piyasasında, katılımcıların temerrüde düşmeleri halinde piyasa işletim gelir tavanından ödemeyi taahhüt ettiği tutarı,</w:t>
      </w:r>
    </w:p>
    <w:p w14:paraId="7BFB0FB6" w14:textId="77777777" w:rsidR="00955944" w:rsidRPr="00E4115B" w:rsidRDefault="00955944" w:rsidP="00C63473">
      <w:pPr>
        <w:pStyle w:val="Default"/>
        <w:spacing w:after="240"/>
        <w:jc w:val="both"/>
        <w:rPr>
          <w:color w:val="auto"/>
        </w:rPr>
      </w:pPr>
      <w:r w:rsidRPr="00E4115B">
        <w:rPr>
          <w:color w:val="auto"/>
        </w:rPr>
        <w:t xml:space="preserve">bb. Piyasa katılımcısı: Bu Usul ve Esaslar kapsamında işlem yapma hakkı bulunan tüzel kişileri, </w:t>
      </w:r>
    </w:p>
    <w:p w14:paraId="6996A131"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cc. Pozisyon kapatma: Aynı kontratta eşit miktarda ters işlem yapılmak suretiyle </w:t>
      </w:r>
      <w:r w:rsidRPr="00E4115B">
        <w:rPr>
          <w:rFonts w:ascii="Times New Roman" w:eastAsia="Calibri" w:hAnsi="Times New Roman" w:cs="Times New Roman"/>
          <w:sz w:val="24"/>
          <w:szCs w:val="24"/>
        </w:rPr>
        <w:t>pozisyonların sonlandırılmasını</w:t>
      </w:r>
      <w:r w:rsidRPr="00E4115B">
        <w:rPr>
          <w:rFonts w:ascii="Times New Roman" w:hAnsi="Times New Roman" w:cs="Times New Roman"/>
          <w:sz w:val="24"/>
          <w:szCs w:val="24"/>
        </w:rPr>
        <w:t xml:space="preserve"> veya temerrüt yönetimi kapsamında yapılan işlemler sonucunda pozisyonların tasfiyesini,</w:t>
      </w:r>
    </w:p>
    <w:p w14:paraId="52B2BA2E"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çç. Seans: VGP’de kontratların alım satım için işleme açık olduğu zaman dilimini,</w:t>
      </w:r>
    </w:p>
    <w:p w14:paraId="2D9D4756"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 xml:space="preserve">dd. STP katılım anlaşması: Piyasa işletmecisi ile STP’ye katılım sağlayan lisans sahipleri arasında yapılan ve Yönetmelikte belirlenen esaslar çerçevesinde hazırlanmış olan anlaşmayı, </w:t>
      </w:r>
    </w:p>
    <w:p w14:paraId="05C672CE"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ee. Sürekli ticaret platformu (STP): Piyasa işletmecisi tarafından işletilen tüm doğal gaz piyasalarına yönelik olarak Yönetmelik çerçevesinde kurulan ve elektronik ortamda işletilen ticaret platformunu,</w:t>
      </w:r>
    </w:p>
    <w:p w14:paraId="292F0408"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ff. Temerrüt: Piyasa işletmecisi tarafından işletilen veya mali uzlaştırma ile diğer mali işlemleri yürütülen doğal gaz piyasalarında gerçekleşen işlemler nedeniyle yerine getirilmesi gereken yükümlülüklerin süresi içerisinde yerine getirilmemesi halini,</w:t>
      </w:r>
    </w:p>
    <w:p w14:paraId="0BBA6D6B"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gg.  Temerrüt garanti hesabı: Piyasa katılımcılarının vadeli doğal gaz piyasası kapsamındaki yükümlülüklerini yerine getirmemesi durumunda kullanılmak amacıyla merkezi uzlaştırma kuruluşu ve piyasa işletmecisi nezdinde tutulan, teminatlar dışında kalan ve piyasa katılımcılarının katkı paylarıyla oluşturulan hesabı,</w:t>
      </w:r>
    </w:p>
    <w:p w14:paraId="0A04526E"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ğğ. Teklif defteri: Vadeli doğal gaz piyasası katılımcılarının kontratlara sundukları tekliflerin listelendiği STP ekranını, </w:t>
      </w:r>
    </w:p>
    <w:p w14:paraId="62DAEE0C"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hh.</w:t>
      </w:r>
      <w:r w:rsidR="00B1610C" w:rsidRPr="00E4115B">
        <w:rPr>
          <w:rFonts w:ascii="Times New Roman" w:hAnsi="Times New Roman" w:cs="Times New Roman"/>
          <w:sz w:val="24"/>
          <w:szCs w:val="24"/>
        </w:rPr>
        <w:t xml:space="preserve"> </w:t>
      </w:r>
      <w:r w:rsidRPr="00E4115B">
        <w:rPr>
          <w:rFonts w:ascii="Times New Roman" w:hAnsi="Times New Roman" w:cs="Times New Roman"/>
          <w:sz w:val="24"/>
          <w:szCs w:val="24"/>
        </w:rPr>
        <w:t xml:space="preserve">Ters işlem: Aynı kontratta, uzun pozisyon karşısında kısa pozisyon, kısa pozisyon karşısında uzun pozisyon alınarak pozisyonun kısmen veya tamamen tasfiyesini, </w:t>
      </w:r>
    </w:p>
    <w:p w14:paraId="03EB2305"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ıı.   Uzun pozisyon: Sahibine, VGP’de yapılan işlemlerde, kontratın teslimat dönemi geldiğinde doğal gazı belirli bir fiyattan ve belirli bir miktarda teslim alma yükümlülüğü veren pozisyonu, </w:t>
      </w:r>
    </w:p>
    <w:p w14:paraId="6EAB366E" w14:textId="77777777" w:rsidR="00955944" w:rsidRPr="00E4115B" w:rsidRDefault="00955944" w:rsidP="00C63473">
      <w:pPr>
        <w:spacing w:line="240" w:lineRule="atLeast"/>
        <w:jc w:val="both"/>
        <w:rPr>
          <w:rFonts w:ascii="Times New Roman" w:eastAsia="Times New Roman" w:hAnsi="Times New Roman" w:cs="Times New Roman"/>
          <w:sz w:val="24"/>
          <w:szCs w:val="24"/>
          <w:lang w:eastAsia="tr-TR"/>
        </w:rPr>
      </w:pPr>
      <w:r w:rsidRPr="00E4115B">
        <w:rPr>
          <w:rFonts w:ascii="Times New Roman" w:hAnsi="Times New Roman" w:cs="Times New Roman"/>
          <w:sz w:val="24"/>
          <w:szCs w:val="24"/>
        </w:rPr>
        <w:t xml:space="preserve">ii.  </w:t>
      </w:r>
      <w:r w:rsidRPr="00E4115B">
        <w:rPr>
          <w:rFonts w:ascii="Times New Roman" w:eastAsia="Times New Roman" w:hAnsi="Times New Roman" w:cs="Times New Roman"/>
          <w:sz w:val="24"/>
          <w:szCs w:val="24"/>
          <w:lang w:eastAsia="tr-TR"/>
        </w:rPr>
        <w:t>Vadeli Doğal Gaz Piyasası (VGP): Piyasa katılımcılarına fiziksel teslimat yükümlülüğü doğuran ve piyasa işletmecisi tarafından Yönetmelik kapsamında işletilen vadeli doğal gaz piyasasını,</w:t>
      </w:r>
    </w:p>
    <w:p w14:paraId="3953FBF8" w14:textId="77777777" w:rsidR="00955944" w:rsidRPr="00E4115B" w:rsidRDefault="00955944" w:rsidP="00C63473">
      <w:pPr>
        <w:spacing w:line="240" w:lineRule="atLeast"/>
        <w:jc w:val="both"/>
        <w:rPr>
          <w:rFonts w:ascii="Times New Roman" w:eastAsia="Times New Roman" w:hAnsi="Times New Roman" w:cs="Times New Roman"/>
          <w:sz w:val="24"/>
          <w:szCs w:val="24"/>
          <w:lang w:eastAsia="tr-TR"/>
        </w:rPr>
      </w:pPr>
      <w:r w:rsidRPr="00E4115B">
        <w:rPr>
          <w:rFonts w:ascii="Times New Roman" w:hAnsi="Times New Roman" w:cs="Times New Roman"/>
          <w:sz w:val="24"/>
          <w:szCs w:val="24"/>
        </w:rPr>
        <w:t xml:space="preserve">jj.  VGP katılım anlaşması: </w:t>
      </w:r>
      <w:r w:rsidRPr="00E4115B">
        <w:rPr>
          <w:rFonts w:ascii="Times New Roman" w:eastAsia="Times New Roman" w:hAnsi="Times New Roman" w:cs="Times New Roman"/>
          <w:sz w:val="24"/>
          <w:szCs w:val="24"/>
          <w:lang w:eastAsia="tr-TR"/>
        </w:rPr>
        <w:t>VGP’de işlem yapmak amacıyla STP’ye katılım sağlayan lisans sahipleri ile Piyasa işletmecisi  arasında yapılan anlaşmayı,</w:t>
      </w:r>
    </w:p>
    <w:p w14:paraId="65F6230C"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kk. VGP uzlaştırması: Vadeli doğal gaz piyasasında yapılan işlemlerden doğan alacak ve borç miktarlarının hesaplanması ve ilgili alacak/borç bildirimlerinin hazırlanması işlemlerini, </w:t>
      </w:r>
    </w:p>
    <w:p w14:paraId="2EAB67EA" w14:textId="6C627CB5"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ll. VGP yıllık katılım ücreti: Piyasa katılımcılarının her bir takvim yılı için ödemek zorunda oldukları </w:t>
      </w:r>
      <w:r w:rsidR="0091393A">
        <w:rPr>
          <w:rFonts w:ascii="Times New Roman" w:hAnsi="Times New Roman" w:cs="Times New Roman"/>
          <w:sz w:val="24"/>
          <w:szCs w:val="24"/>
        </w:rPr>
        <w:t xml:space="preserve">Kurulca belirlenen </w:t>
      </w:r>
      <w:r w:rsidRPr="00E4115B">
        <w:rPr>
          <w:rFonts w:ascii="Times New Roman" w:hAnsi="Times New Roman" w:cs="Times New Roman"/>
          <w:sz w:val="24"/>
          <w:szCs w:val="24"/>
        </w:rPr>
        <w:t xml:space="preserve">katılım bedelini, </w:t>
      </w:r>
    </w:p>
    <w:p w14:paraId="00BE4CB6"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mm. Vadeli Doğal Gaz Piyasası İşletim Usul ve Esasları (VGPUE): Bu Usul ve Esaslar ve ilgili mevzuat doğrultusunda fiziksel teslimatlı vadeli doğal gaz piyasasının işletilmesine ilişkin usul ve esasları,</w:t>
      </w:r>
    </w:p>
    <w:p w14:paraId="1F918749"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nn. Yönetmelik: Organize Toptan Doğal Gaz Satış Piyasası Yönetmeliğini (OTSP),</w:t>
      </w:r>
    </w:p>
    <w:p w14:paraId="2CFFB298"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6873439A" w14:textId="77777777" w:rsidR="00B1610C" w:rsidRPr="00E4115B" w:rsidRDefault="00B1610C" w:rsidP="00C63473">
      <w:pPr>
        <w:jc w:val="both"/>
        <w:rPr>
          <w:rFonts w:ascii="Times New Roman" w:hAnsi="Times New Roman" w:cs="Times New Roman"/>
          <w:sz w:val="24"/>
          <w:szCs w:val="24"/>
        </w:rPr>
      </w:pPr>
    </w:p>
    <w:p w14:paraId="28F54CFE" w14:textId="77777777" w:rsidR="007445E8" w:rsidRPr="00E4115B" w:rsidRDefault="00955944" w:rsidP="004A35D9">
      <w:pPr>
        <w:pStyle w:val="Balk1"/>
      </w:pPr>
      <w:bookmarkStart w:id="11" w:name="_Toc64755905"/>
      <w:r w:rsidRPr="00E4115B">
        <w:t>GENEL HÜKÜMLER</w:t>
      </w:r>
      <w:bookmarkEnd w:id="11"/>
    </w:p>
    <w:p w14:paraId="65976691" w14:textId="77777777" w:rsidR="00955944" w:rsidRPr="00E4115B" w:rsidRDefault="00955944" w:rsidP="004A35D9">
      <w:pPr>
        <w:pStyle w:val="Balk2"/>
      </w:pPr>
      <w:bookmarkStart w:id="12" w:name="_Toc64755906"/>
      <w:bookmarkStart w:id="13" w:name="_Toc64755907"/>
      <w:bookmarkEnd w:id="12"/>
      <w:r w:rsidRPr="00E4115B">
        <w:t>VGP’ye İlişkin Genel Esaslar</w:t>
      </w:r>
      <w:bookmarkEnd w:id="13"/>
    </w:p>
    <w:p w14:paraId="7C46AEA6" w14:textId="77777777" w:rsidR="007445E8" w:rsidRPr="00E4115B" w:rsidRDefault="00955944" w:rsidP="007445E8">
      <w:pPr>
        <w:pStyle w:val="Balk3"/>
        <w:ind w:left="0" w:hanging="11"/>
        <w:rPr>
          <w:b w:val="0"/>
        </w:rPr>
      </w:pPr>
      <w:r w:rsidRPr="00E4115B">
        <w:rPr>
          <w:b w:val="0"/>
        </w:rPr>
        <w:t>VGP’de işlemler teslimat dönemi bazında gerçekleştirilir.</w:t>
      </w:r>
    </w:p>
    <w:p w14:paraId="3EA71EAD" w14:textId="77777777" w:rsidR="007445E8" w:rsidRPr="00E4115B" w:rsidRDefault="00955944" w:rsidP="007445E8">
      <w:pPr>
        <w:pStyle w:val="Balk3"/>
        <w:ind w:left="0" w:hanging="11"/>
        <w:rPr>
          <w:b w:val="0"/>
        </w:rPr>
      </w:pPr>
      <w:r w:rsidRPr="00E4115B">
        <w:rPr>
          <w:b w:val="0"/>
        </w:rPr>
        <w:lastRenderedPageBreak/>
        <w:t xml:space="preserve">VGP’de açık olan tüm kontratlar seans süresince sürekli ticaret yöntemine göre işlem görür. İlgili kontratın kapı kapanış zamanına kadar teklif verilebilir, verilen teklifler eşleşmediği sürece </w:t>
      </w:r>
      <w:r w:rsidRPr="00E4115B">
        <w:rPr>
          <w:rFonts w:eastAsia="Calibri"/>
          <w:b w:val="0"/>
        </w:rPr>
        <w:t xml:space="preserve">bu Usul ve Esaslar çerçevesinde </w:t>
      </w:r>
      <w:r w:rsidRPr="00E4115B">
        <w:rPr>
          <w:b w:val="0"/>
        </w:rPr>
        <w:t>güncellenebilir.</w:t>
      </w:r>
    </w:p>
    <w:p w14:paraId="2C509CCE" w14:textId="77777777" w:rsidR="007445E8" w:rsidRPr="00E4115B" w:rsidRDefault="00955944" w:rsidP="007445E8">
      <w:pPr>
        <w:pStyle w:val="Balk3"/>
        <w:ind w:left="0" w:hanging="11"/>
        <w:rPr>
          <w:b w:val="0"/>
        </w:rPr>
      </w:pPr>
      <w:r w:rsidRPr="00E4115B">
        <w:rPr>
          <w:b w:val="0"/>
        </w:rPr>
        <w:t>VGP uzlaştırmasında uygulanacak fiyatlar, VGP kapsamında gerçekleştirilen ticari işlemler dikkate alınarak, teslimat dönemini kapsayan gaz günleri bazında ve her bir eşleşme için belirlenir.</w:t>
      </w:r>
    </w:p>
    <w:p w14:paraId="2B9C4907" w14:textId="77777777" w:rsidR="007445E8" w:rsidRPr="00E4115B" w:rsidRDefault="00955944" w:rsidP="007445E8">
      <w:pPr>
        <w:pStyle w:val="Balk3"/>
        <w:ind w:left="0" w:hanging="11"/>
        <w:rPr>
          <w:b w:val="0"/>
        </w:rPr>
      </w:pPr>
      <w:r w:rsidRPr="00E4115B">
        <w:rPr>
          <w:b w:val="0"/>
        </w:rPr>
        <w:t>Piyasa katılımcıları tarafından sunulan teklifler anlık olarak değerlendirilip karşı yöndeki tekliflerle karşılaştırılarak eşleşme kurallarına uygun olması durumunda eşleştirilir.</w:t>
      </w:r>
    </w:p>
    <w:p w14:paraId="25AA623E" w14:textId="77777777" w:rsidR="007445E8" w:rsidRPr="00E4115B" w:rsidRDefault="00955944" w:rsidP="007445E8">
      <w:pPr>
        <w:pStyle w:val="Balk3"/>
        <w:ind w:left="0" w:hanging="11"/>
        <w:rPr>
          <w:b w:val="0"/>
        </w:rPr>
      </w:pPr>
      <w:r w:rsidRPr="00E4115B">
        <w:rPr>
          <w:b w:val="0"/>
        </w:rPr>
        <w:t xml:space="preserve">Tekliflerin durumu anlık olarak piyasa katılımcıları tarafından STP </w:t>
      </w:r>
      <w:r w:rsidR="007445E8" w:rsidRPr="00E4115B">
        <w:rPr>
          <w:b w:val="0"/>
        </w:rPr>
        <w:t>ekranları üzerinden görülebilir.</w:t>
      </w:r>
    </w:p>
    <w:p w14:paraId="1487B00E" w14:textId="77777777" w:rsidR="007445E8" w:rsidRPr="00E4115B" w:rsidRDefault="00955944" w:rsidP="007445E8">
      <w:pPr>
        <w:pStyle w:val="Balk3"/>
        <w:ind w:left="0" w:hanging="11"/>
        <w:rPr>
          <w:b w:val="0"/>
        </w:rPr>
      </w:pPr>
      <w:r w:rsidRPr="00E4115B">
        <w:rPr>
          <w:b w:val="0"/>
        </w:rPr>
        <w:t>Piyasa katılımcıları tarafından sunulan teklifler, piyasa katılımcıları arasında ayrım gözetilmeksizin değerlendirilir.</w:t>
      </w:r>
    </w:p>
    <w:p w14:paraId="3479C029" w14:textId="77777777" w:rsidR="007445E8" w:rsidRPr="00E4115B" w:rsidRDefault="00955944" w:rsidP="007445E8">
      <w:pPr>
        <w:pStyle w:val="Balk3"/>
        <w:ind w:left="0" w:hanging="11"/>
        <w:rPr>
          <w:b w:val="0"/>
        </w:rPr>
      </w:pPr>
      <w:r w:rsidRPr="00E4115B">
        <w:rPr>
          <w:b w:val="0"/>
        </w:rPr>
        <w:t>VGP’de yürütülen faaliyetler, şeffaflık ve sorumluluk ilkelerine uygun şekilde yürütülür.</w:t>
      </w:r>
    </w:p>
    <w:p w14:paraId="3DCDABC7" w14:textId="77777777" w:rsidR="007445E8" w:rsidRPr="00E4115B" w:rsidRDefault="00955944" w:rsidP="007445E8">
      <w:pPr>
        <w:pStyle w:val="Balk3"/>
        <w:ind w:left="0" w:hanging="11"/>
        <w:rPr>
          <w:b w:val="0"/>
        </w:rPr>
      </w:pPr>
      <w:r w:rsidRPr="00E4115B">
        <w:rPr>
          <w:b w:val="0"/>
        </w:rPr>
        <w:t>Eşleşen teklifler piyasa katılımcısı için teslimat dönemi içinde fiziksel olarak doğal gazın iletim sistemine teslim edilmesi ya da iletim sisteminden teslim alınması yükümlülüğü doğurur.</w:t>
      </w:r>
    </w:p>
    <w:p w14:paraId="1643C4B1" w14:textId="77777777" w:rsidR="007445E8" w:rsidRPr="00E4115B" w:rsidRDefault="00955944" w:rsidP="007445E8">
      <w:pPr>
        <w:pStyle w:val="Balk3"/>
        <w:ind w:left="0" w:hanging="11"/>
        <w:rPr>
          <w:b w:val="0"/>
        </w:rPr>
      </w:pPr>
      <w:r w:rsidRPr="00E4115B">
        <w:rPr>
          <w:b w:val="0"/>
        </w:rPr>
        <w:t>İlgili kontrat işleme kapanmadan önce açık pozisyon kapatıldığında, piyasa katılımcısının fiziksel teslimat zorunluluğu ortadan kalkar.</w:t>
      </w:r>
    </w:p>
    <w:p w14:paraId="0ABD91FA" w14:textId="70AE18D0" w:rsidR="007445E8" w:rsidRPr="007966DB" w:rsidRDefault="00955944" w:rsidP="007445E8">
      <w:pPr>
        <w:pStyle w:val="Balk3"/>
        <w:ind w:left="0" w:hanging="11"/>
        <w:rPr>
          <w:b w:val="0"/>
        </w:rPr>
      </w:pPr>
      <w:r w:rsidRPr="00E4115B">
        <w:rPr>
          <w:b w:val="0"/>
        </w:rPr>
        <w:t>Gerçekleşen her bir eşleşmede piyasa işletmecisi, ilgili piyasa katılımcısına karşı taraftır.</w:t>
      </w:r>
    </w:p>
    <w:p w14:paraId="2595D1D4" w14:textId="77777777" w:rsidR="007445E8" w:rsidRPr="00E4115B" w:rsidRDefault="00955944" w:rsidP="004A35D9">
      <w:pPr>
        <w:pStyle w:val="Balk1"/>
      </w:pPr>
      <w:bookmarkStart w:id="14" w:name="_Toc64755908"/>
      <w:r w:rsidRPr="00E4115B">
        <w:t>TARAFLAR, GÖREV, YETKİ ve SORUMLULUKLAR</w:t>
      </w:r>
      <w:bookmarkEnd w:id="14"/>
    </w:p>
    <w:p w14:paraId="7F9F79B8" w14:textId="77777777" w:rsidR="00955944" w:rsidRPr="00E4115B" w:rsidRDefault="00955944" w:rsidP="007445E8">
      <w:pPr>
        <w:pStyle w:val="Balk2"/>
      </w:pPr>
      <w:bookmarkStart w:id="15" w:name="_Toc64755909"/>
      <w:bookmarkStart w:id="16" w:name="_Toc64755910"/>
      <w:bookmarkEnd w:id="15"/>
      <w:r w:rsidRPr="00E4115B">
        <w:t>Piyasa Katılımcılarının Sorumlulukları</w:t>
      </w:r>
      <w:bookmarkEnd w:id="16"/>
    </w:p>
    <w:p w14:paraId="240D8188" w14:textId="77777777" w:rsidR="00955944" w:rsidRPr="00E4115B" w:rsidRDefault="00955944" w:rsidP="007445E8">
      <w:pPr>
        <w:pStyle w:val="Balk3"/>
        <w:ind w:left="0" w:hanging="11"/>
        <w:rPr>
          <w:b w:val="0"/>
        </w:rPr>
      </w:pPr>
      <w:r w:rsidRPr="00E4115B">
        <w:rPr>
          <w:b w:val="0"/>
        </w:rPr>
        <w:t>Her piyasa katılımcısı, piyasa işlemlerinin uzlaştırılmasını teminen VGP Katılım Anlaşması gereğince piyasa işletmecisini aracı olarak atamakla yükümlüdür.</w:t>
      </w:r>
    </w:p>
    <w:p w14:paraId="352EF149" w14:textId="77777777" w:rsidR="00955944" w:rsidRPr="00E4115B" w:rsidRDefault="00955944" w:rsidP="007445E8">
      <w:pPr>
        <w:pStyle w:val="Balk3"/>
        <w:ind w:left="0" w:hanging="11"/>
        <w:rPr>
          <w:b w:val="0"/>
        </w:rPr>
      </w:pPr>
      <w:r w:rsidRPr="00E4115B">
        <w:rPr>
          <w:b w:val="0"/>
        </w:rPr>
        <w:t>Piyasa katılımcıları, STP’de verdikleri teklifler sonucunda oluşan kesinleşmiş net pozisyon miktarlarını, teklifin teslim şartlarında belirtilen hususlara uygun şekilde teslim etmekle ya da teslim almakla yükümlüdür.</w:t>
      </w:r>
    </w:p>
    <w:p w14:paraId="64EB3DCE" w14:textId="77777777" w:rsidR="00955944" w:rsidRPr="00E4115B" w:rsidRDefault="00955944" w:rsidP="007445E8">
      <w:pPr>
        <w:pStyle w:val="Balk3"/>
        <w:ind w:left="0" w:hanging="11"/>
        <w:rPr>
          <w:b w:val="0"/>
        </w:rPr>
      </w:pPr>
      <w:r w:rsidRPr="00E4115B">
        <w:rPr>
          <w:b w:val="0"/>
        </w:rPr>
        <w:t>Piyasa katılımcıları, Yönetmelik ve ilgili mevzuat hükümleri çerçevesinde gerçekleştirdikleri faaliyetlerini OTSP’ye ve/veya sistem işletimine zarar vermeyecek ve ilgili mevzuattan kaynaklanan yükümlülüklerini ortadan kaldırmayacak şekilde yürütmekle yükümlüdür.</w:t>
      </w:r>
    </w:p>
    <w:p w14:paraId="2FAF0232" w14:textId="77777777" w:rsidR="00955944" w:rsidRPr="00E4115B" w:rsidRDefault="00955944" w:rsidP="007445E8">
      <w:pPr>
        <w:pStyle w:val="Balk3"/>
        <w:ind w:left="0" w:hanging="11"/>
        <w:rPr>
          <w:b w:val="0"/>
        </w:rPr>
      </w:pPr>
      <w:r w:rsidRPr="00E4115B">
        <w:rPr>
          <w:b w:val="0"/>
        </w:rPr>
        <w:t>Piyasa katılımcıları, piyasa işletmecisine karşı ilgili piyasa işlemlerinin gerektirdiği mali sorumlulukları üstlenmekle ve piyasa işletmecisi tarafından kendilerine iletilen tüm ödeme bildirimleri ve faturalara ilişkin olarak ödemeleri zamanında ve eksiksiz şekilde yapmakla yükümlüdür.</w:t>
      </w:r>
    </w:p>
    <w:p w14:paraId="67F40364" w14:textId="77777777" w:rsidR="00955944" w:rsidRPr="00E4115B" w:rsidRDefault="00955944" w:rsidP="007445E8">
      <w:pPr>
        <w:pStyle w:val="Balk3"/>
        <w:ind w:left="0" w:hanging="11"/>
        <w:rPr>
          <w:b w:val="0"/>
        </w:rPr>
      </w:pPr>
      <w:r w:rsidRPr="00E4115B">
        <w:rPr>
          <w:b w:val="0"/>
        </w:rPr>
        <w:lastRenderedPageBreak/>
        <w:t>Piyasa katılımcıları, piyasa işletmecisi namına sunmaları gereken teminat tutarının bu Usul ve Esaslarda yer alan ilgili maddeler gereğince sunulmasından sorumludur.</w:t>
      </w:r>
    </w:p>
    <w:p w14:paraId="1732FB42" w14:textId="77777777" w:rsidR="00955944" w:rsidRPr="00E4115B" w:rsidRDefault="007445E8" w:rsidP="007445E8">
      <w:pPr>
        <w:pStyle w:val="Balk2"/>
      </w:pPr>
      <w:r w:rsidRPr="00E4115B">
        <w:t xml:space="preserve"> </w:t>
      </w:r>
      <w:bookmarkStart w:id="17" w:name="_Toc64755911"/>
      <w:r w:rsidR="00955944" w:rsidRPr="00E4115B">
        <w:t>Piyasa İşletmecisinin Sorumlulukları</w:t>
      </w:r>
      <w:bookmarkEnd w:id="17"/>
    </w:p>
    <w:p w14:paraId="19DDC3FB" w14:textId="77777777" w:rsidR="00955944" w:rsidRPr="00E4115B" w:rsidRDefault="00955944" w:rsidP="007445E8">
      <w:pPr>
        <w:pStyle w:val="Balk3"/>
        <w:ind w:left="0" w:hanging="11"/>
        <w:rPr>
          <w:b w:val="0"/>
        </w:rPr>
      </w:pPr>
      <w:r w:rsidRPr="00E4115B">
        <w:rPr>
          <w:b w:val="0"/>
        </w:rPr>
        <w:t>Piyasa işletmecisi EPİAŞ’tır. Piyasa işletmecisi; VGP’nin işletimini, uzlaştırma işlemlerini ve veri yayımlama faaliyetlerini eşit taraflar arasında ayrım gözetmeksizin, şeffaflık ve sorumluluk ilkeleri çerçevesinde yürütür.</w:t>
      </w:r>
    </w:p>
    <w:p w14:paraId="6BB44614" w14:textId="77777777" w:rsidR="00955944" w:rsidRPr="00E4115B" w:rsidRDefault="00955944" w:rsidP="007445E8">
      <w:pPr>
        <w:pStyle w:val="Balk3"/>
        <w:ind w:left="0" w:hanging="11"/>
        <w:rPr>
          <w:b w:val="0"/>
        </w:rPr>
      </w:pPr>
      <w:r w:rsidRPr="00E4115B">
        <w:rPr>
          <w:b w:val="0"/>
        </w:rPr>
        <w:t>Piyasa işletmecisi, VGP’nin işletimine ilişkin aşağıdaki faaliyetleri yürütür:</w:t>
      </w:r>
    </w:p>
    <w:p w14:paraId="7DF15B8E" w14:textId="77777777" w:rsidR="00955944" w:rsidRPr="00E4115B" w:rsidRDefault="00955944"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 xml:space="preserve">a. VGP’nin Yönetmelik, bu Usul ve Esaslar ve ilgili mevzuat hükümlerine uygun olarak işletilmesi, </w:t>
      </w:r>
    </w:p>
    <w:p w14:paraId="2F52652D" w14:textId="77777777" w:rsidR="00955944" w:rsidRPr="00E4115B" w:rsidRDefault="00955944"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 xml:space="preserve">b. STP’nin ilgili mevzuat kapsamındaki yükümlülüklerin yerine getirilmesi amacıyla her türlü bakım ve güncelleme faaliyetlerinin yerine getirilerek erişilebilir halde tutulması, </w:t>
      </w:r>
    </w:p>
    <w:p w14:paraId="07003C4E" w14:textId="77777777" w:rsidR="00955944" w:rsidRPr="00E4115B" w:rsidRDefault="00955944"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 xml:space="preserve">c. VGP’nin işletimine ilişkin hususlarda ilgili mevzuata uygun olarak, uygulamaya yönelik kararların alınması, mevzuatla kendisine bırakılmış diğer görevlerin yerine getirilmesi, </w:t>
      </w:r>
    </w:p>
    <w:p w14:paraId="2F161E5B" w14:textId="77777777" w:rsidR="00955944" w:rsidRPr="00E4115B" w:rsidRDefault="007445E8"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ç</w:t>
      </w:r>
      <w:r w:rsidR="00955944" w:rsidRPr="00E4115B">
        <w:rPr>
          <w:rFonts w:ascii="Times New Roman" w:hAnsi="Times New Roman" w:cs="Times New Roman"/>
          <w:sz w:val="24"/>
          <w:szCs w:val="24"/>
        </w:rPr>
        <w:t xml:space="preserve">. Bu Usul ve Esaslarda yer alan hükümler uyarınca verilerin yayımlanması ve raporlanması, </w:t>
      </w:r>
    </w:p>
    <w:p w14:paraId="7E974E5D" w14:textId="77777777" w:rsidR="00955944" w:rsidRPr="00E4115B" w:rsidRDefault="007445E8"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d</w:t>
      </w:r>
      <w:r w:rsidR="00955944" w:rsidRPr="00E4115B">
        <w:rPr>
          <w:rFonts w:ascii="Times New Roman" w:hAnsi="Times New Roman" w:cs="Times New Roman"/>
          <w:sz w:val="24"/>
          <w:szCs w:val="24"/>
        </w:rPr>
        <w:t>. STP’de sunulması öngörülen yeni ürün ve hizmetlerin geliştirilmesi ve tüm bu ürünlerin STP’de piyasa katılımcılarına sunulabilmesi için Kurul’dan onay alınması.</w:t>
      </w:r>
    </w:p>
    <w:p w14:paraId="0DA646AA" w14:textId="121816E0" w:rsidR="00955944" w:rsidRDefault="00955944" w:rsidP="00C63473">
      <w:pPr>
        <w:autoSpaceDE w:val="0"/>
        <w:autoSpaceDN w:val="0"/>
        <w:adjustRightInd w:val="0"/>
        <w:spacing w:after="240"/>
        <w:jc w:val="both"/>
        <w:outlineLvl w:val="2"/>
        <w:rPr>
          <w:rFonts w:ascii="Times New Roman" w:hAnsi="Times New Roman" w:cs="Times New Roman"/>
          <w:sz w:val="24"/>
          <w:szCs w:val="24"/>
        </w:rPr>
      </w:pPr>
      <w:r w:rsidRPr="00E4115B">
        <w:rPr>
          <w:rFonts w:ascii="Times New Roman" w:hAnsi="Times New Roman" w:cs="Times New Roman"/>
          <w:b/>
          <w:sz w:val="24"/>
          <w:szCs w:val="24"/>
        </w:rPr>
        <w:t>4.2.3.</w:t>
      </w:r>
      <w:r w:rsidRPr="00E4115B">
        <w:rPr>
          <w:rFonts w:ascii="Times New Roman" w:hAnsi="Times New Roman" w:cs="Times New Roman"/>
          <w:sz w:val="24"/>
          <w:szCs w:val="24"/>
        </w:rPr>
        <w:t xml:space="preserve"> Piyasa işletmecisi, merkezi karşı taraf sıfatıyla VGP’deki her bir kontrata yönelik yapılan işlemleri, söz konusu kontratlar için gaz günü bazında aylık olarak uzlaştırır. Piyasa işletmecisi, aylık uzlaştırma işlemlerinin tamamlanmasını müteakip faturaların hazırlanması ile tahsilat ve ödeme işlemlerinin merkezi uzlaştırma kuruluşu aracılığıyla yapılması faaliyetlerini yürütür.</w:t>
      </w:r>
    </w:p>
    <w:p w14:paraId="41325249" w14:textId="77777777" w:rsidR="00424C95" w:rsidRPr="00E4115B" w:rsidRDefault="00424C95" w:rsidP="007966DB">
      <w:pPr>
        <w:autoSpaceDE w:val="0"/>
        <w:autoSpaceDN w:val="0"/>
        <w:adjustRightInd w:val="0"/>
        <w:spacing w:after="0" w:line="240" w:lineRule="auto"/>
        <w:jc w:val="both"/>
        <w:outlineLvl w:val="2"/>
        <w:rPr>
          <w:rFonts w:ascii="Times New Roman" w:hAnsi="Times New Roman" w:cs="Times New Roman"/>
          <w:sz w:val="24"/>
          <w:szCs w:val="24"/>
        </w:rPr>
      </w:pPr>
    </w:p>
    <w:p w14:paraId="3EF1AB6B" w14:textId="77777777" w:rsidR="00955944" w:rsidRPr="00E4115B" w:rsidRDefault="00955944" w:rsidP="004A35D9">
      <w:pPr>
        <w:pStyle w:val="Balk1"/>
      </w:pPr>
      <w:bookmarkStart w:id="18" w:name="_Toc64755912"/>
      <w:r w:rsidRPr="00E4115B">
        <w:t>PİYASA KATILIMCILARININ KAYIT İŞLEMLERİNE İLİŞKİN HÜKÜMLER</w:t>
      </w:r>
      <w:bookmarkEnd w:id="18"/>
    </w:p>
    <w:p w14:paraId="584A0288" w14:textId="77777777" w:rsidR="00955944" w:rsidRPr="00E4115B" w:rsidRDefault="00955944" w:rsidP="007445E8">
      <w:pPr>
        <w:pStyle w:val="Balk2"/>
      </w:pPr>
      <w:bookmarkStart w:id="19" w:name="_Toc64755913"/>
      <w:bookmarkStart w:id="20" w:name="_Toc64755914"/>
      <w:bookmarkEnd w:id="19"/>
      <w:r w:rsidRPr="00E4115B">
        <w:t>Kayıt Başvurusu ve Değerlendirilmesi</w:t>
      </w:r>
      <w:bookmarkEnd w:id="20"/>
    </w:p>
    <w:p w14:paraId="2A50135E" w14:textId="77777777" w:rsidR="00955944" w:rsidRPr="00E4115B" w:rsidRDefault="00955944" w:rsidP="007445E8">
      <w:pPr>
        <w:pStyle w:val="Balk3"/>
        <w:ind w:left="0" w:hanging="11"/>
        <w:rPr>
          <w:b w:val="0"/>
        </w:rPr>
      </w:pPr>
      <w:r w:rsidRPr="00E4115B">
        <w:rPr>
          <w:b w:val="0"/>
        </w:rPr>
        <w:t>VGP’de işlem yapabilmek için PUE ve ŞİD uyarınca piyasa katılımcısı statüsünü haiz olmak zorunludur.</w:t>
      </w:r>
    </w:p>
    <w:p w14:paraId="5D03CF91" w14:textId="77777777" w:rsidR="00955944" w:rsidRPr="00E4115B" w:rsidRDefault="00955944" w:rsidP="007445E8">
      <w:pPr>
        <w:pStyle w:val="Balk3"/>
        <w:ind w:left="0" w:hanging="11"/>
        <w:rPr>
          <w:b w:val="0"/>
        </w:rPr>
      </w:pPr>
      <w:r w:rsidRPr="00E4115B">
        <w:rPr>
          <w:b w:val="0"/>
        </w:rPr>
        <w:t>Vadeli doğal gaz piyasasında işlem yapmak isteyen piyasa katılımcıları,</w:t>
      </w:r>
      <w:r w:rsidRPr="00E4115B">
        <w:rPr>
          <w:rFonts w:eastAsia="Times New Roman"/>
          <w:b w:val="0"/>
          <w:lang w:eastAsia="tr-TR"/>
        </w:rPr>
        <w:t xml:space="preserve"> </w:t>
      </w:r>
      <w:r w:rsidRPr="00E4115B">
        <w:rPr>
          <w:b w:val="0"/>
        </w:rPr>
        <w:t>STS ve STP katılım anlaşmasına ilave olarak VGP katılım anlaşmasını da imzalar. VGP katılım anlaşması, STP katılım anlaşması süresince geçerli olur.</w:t>
      </w:r>
    </w:p>
    <w:p w14:paraId="66192F57" w14:textId="4023724B" w:rsidR="00955944" w:rsidRPr="007966DB" w:rsidRDefault="00955944" w:rsidP="00C63473">
      <w:pPr>
        <w:pStyle w:val="Balk3"/>
        <w:ind w:left="0" w:hanging="11"/>
        <w:rPr>
          <w:b w:val="0"/>
        </w:rPr>
      </w:pPr>
      <w:r w:rsidRPr="00E4115B">
        <w:rPr>
          <w:b w:val="0"/>
        </w:rPr>
        <w:t>Başlangıç teminatı ve temerrüt garanti hesabı sabit katkı payı yatırılmadan piyasa katılımcısının VGP kayıt başvurusu onaylanmaz.</w:t>
      </w:r>
    </w:p>
    <w:p w14:paraId="6F3A129D" w14:textId="77777777" w:rsidR="00955944" w:rsidRPr="00E4115B" w:rsidRDefault="00955944" w:rsidP="007445E8">
      <w:pPr>
        <w:pStyle w:val="Balk2"/>
      </w:pPr>
      <w:bookmarkStart w:id="21" w:name="_Toc64755915"/>
      <w:r w:rsidRPr="00E4115B">
        <w:t>Piyasa Katılımcısının Piyasaya Erişiminin Askıya Alınması</w:t>
      </w:r>
      <w:bookmarkEnd w:id="21"/>
    </w:p>
    <w:p w14:paraId="21E91476" w14:textId="77777777" w:rsidR="00955944" w:rsidRPr="00E4115B" w:rsidRDefault="00955944" w:rsidP="007445E8">
      <w:pPr>
        <w:pStyle w:val="Balk3"/>
        <w:ind w:left="0" w:hanging="11"/>
        <w:rPr>
          <w:b w:val="0"/>
        </w:rPr>
      </w:pPr>
      <w:r w:rsidRPr="00E4115B">
        <w:rPr>
          <w:b w:val="0"/>
        </w:rPr>
        <w:t>Piyasa işletmecisi, PUE 5.3 maddesine ek olarak aşağıdaki durumlarda da piyasa katılımcılarının piyasaya erişimini askıya alabilir.</w:t>
      </w:r>
    </w:p>
    <w:p w14:paraId="05C2BD6D" w14:textId="68C3181D"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a.</w:t>
      </w:r>
      <w:r w:rsidRPr="00E4115B">
        <w:rPr>
          <w:rFonts w:ascii="Times New Roman" w:hAnsi="Times New Roman" w:cs="Times New Roman"/>
          <w:sz w:val="24"/>
          <w:szCs w:val="24"/>
        </w:rPr>
        <w:tab/>
        <w:t xml:space="preserve">Piyasa katılımcılarının VGP kontratlarına erişimlerinin askıya alınması için piyasa işletmecisine talepte bulunması halinde, VGP’de açık pozisyonu olmaması durumunda aynı gün, açık pozisyonu olması durumunda ise açık pozisyonların kapatılmasını takip eden iş günü askıya alınır. </w:t>
      </w:r>
      <w:r w:rsidR="0091393A">
        <w:rPr>
          <w:rFonts w:ascii="Times New Roman" w:hAnsi="Times New Roman" w:cs="Times New Roman"/>
          <w:sz w:val="24"/>
          <w:szCs w:val="24"/>
        </w:rPr>
        <w:t>İlgili a</w:t>
      </w:r>
      <w:r w:rsidRPr="00E4115B">
        <w:rPr>
          <w:rFonts w:ascii="Times New Roman" w:hAnsi="Times New Roman" w:cs="Times New Roman"/>
          <w:sz w:val="24"/>
          <w:szCs w:val="24"/>
        </w:rPr>
        <w:t>çık pozisyonların ilgili piyasa katılımcıları tarafından kapatılmaması halinde askıya alma işlemi söz konusu pozisyonlar kapatılıncaya kadar gerçekleştirilmez.</w:t>
      </w:r>
    </w:p>
    <w:p w14:paraId="1AE9A7D0"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b.</w:t>
      </w:r>
      <w:r w:rsidRPr="00E4115B">
        <w:rPr>
          <w:rFonts w:ascii="Times New Roman" w:hAnsi="Times New Roman" w:cs="Times New Roman"/>
          <w:sz w:val="24"/>
          <w:szCs w:val="24"/>
        </w:rPr>
        <w:tab/>
        <w:t>Piyasa katılımcılarının; piyasa işletmecisi tarafından STP katılım anlaşmalarının feshedilmesi, her yıl Ocak ayı itibari ile STS’lerini yenilememeleri, yıl içerisinde kendi iradeleri ile STS’lerini sonlandırmaları veya diğer nedenlerle bu statülerini kaybetmeleri halinde piyasaya erişimleri askıya alınır. Varsa açık pozisyonları piya</w:t>
      </w:r>
      <w:r w:rsidR="007445E8" w:rsidRPr="00E4115B">
        <w:rPr>
          <w:rFonts w:ascii="Times New Roman" w:hAnsi="Times New Roman" w:cs="Times New Roman"/>
          <w:sz w:val="24"/>
          <w:szCs w:val="24"/>
        </w:rPr>
        <w:t>sa işletmecisi tarafından madde 1</w:t>
      </w:r>
      <w:r w:rsidRPr="00E4115B">
        <w:rPr>
          <w:rFonts w:ascii="Times New Roman" w:hAnsi="Times New Roman" w:cs="Times New Roman"/>
          <w:sz w:val="24"/>
          <w:szCs w:val="24"/>
        </w:rPr>
        <w:t>3.2 uyarınca kapatılır.</w:t>
      </w:r>
    </w:p>
    <w:p w14:paraId="10D7864C"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w:t>
      </w:r>
      <w:r w:rsidRPr="00E4115B">
        <w:rPr>
          <w:rFonts w:ascii="Times New Roman" w:hAnsi="Times New Roman" w:cs="Times New Roman"/>
          <w:sz w:val="24"/>
          <w:szCs w:val="24"/>
        </w:rPr>
        <w:tab/>
        <w:t>Piyasa katılımcılarının VGP’de temerrüt halinde bulunması ve/veya VGP Katılım Anlaşmasındaki şartlara uymaması halinde VGP’de statüsü askıya alınır. Varsa açık pozisyonları piyasa işletmecisi tarafından madde 13.2 uyarınca kapatılır.</w:t>
      </w:r>
    </w:p>
    <w:p w14:paraId="3747B9C6" w14:textId="77777777" w:rsidR="00955944" w:rsidRPr="00E4115B" w:rsidRDefault="00955944" w:rsidP="007445E8">
      <w:pPr>
        <w:pStyle w:val="Balk3"/>
        <w:ind w:left="0" w:hanging="11"/>
        <w:rPr>
          <w:b w:val="0"/>
        </w:rPr>
      </w:pPr>
      <w:r w:rsidRPr="00E4115B">
        <w:rPr>
          <w:b w:val="0"/>
        </w:rPr>
        <w:t>Piyasa katılımcısının VGP’ye erişiminin askıya alınması, kendisine tahakkuk etmiş veya edecek borç ve alacakları ile teminat ve temerrüt garanti hesabı katkı payı yükümlülüklerini ortadan kaldırmaz.</w:t>
      </w:r>
    </w:p>
    <w:p w14:paraId="279113A9" w14:textId="77777777" w:rsidR="00955944" w:rsidRPr="00E4115B" w:rsidRDefault="00955944" w:rsidP="007445E8">
      <w:pPr>
        <w:pStyle w:val="Balk2"/>
      </w:pPr>
      <w:bookmarkStart w:id="22" w:name="_Toc64755916"/>
      <w:r w:rsidRPr="00E4115B">
        <w:t>Piyasa Katılımcısı Statüsünün Sona Ermesi</w:t>
      </w:r>
      <w:bookmarkEnd w:id="22"/>
    </w:p>
    <w:p w14:paraId="03ABF66B" w14:textId="77777777" w:rsidR="00955944" w:rsidRPr="00E4115B" w:rsidRDefault="00955944" w:rsidP="007445E8">
      <w:pPr>
        <w:pStyle w:val="Balk3"/>
        <w:ind w:left="0" w:hanging="11"/>
        <w:rPr>
          <w:b w:val="0"/>
        </w:rPr>
      </w:pPr>
      <w:r w:rsidRPr="00E4115B">
        <w:rPr>
          <w:b w:val="0"/>
        </w:rPr>
        <w:t>Madde 5.2. uyarınca piyasa katılımcısının piyasaya erişiminin askıya alınması durumunda PUE madde 5.4 hükümleri kapsamında işlem yapılır.</w:t>
      </w:r>
    </w:p>
    <w:p w14:paraId="771906F0" w14:textId="77777777" w:rsidR="00955944" w:rsidRPr="00E4115B" w:rsidRDefault="00955944" w:rsidP="007445E8">
      <w:pPr>
        <w:pStyle w:val="Balk3"/>
        <w:ind w:left="0" w:hanging="11"/>
        <w:rPr>
          <w:b w:val="0"/>
        </w:rPr>
      </w:pPr>
      <w:r w:rsidRPr="00E4115B">
        <w:rPr>
          <w:b w:val="0"/>
        </w:rPr>
        <w:t>Piyasa Katılımcısının VGP kapsamındaki yükümlülükleri devam ettiği sürece, piyasa katılımcısı statüsü sona erdirilmez.</w:t>
      </w:r>
    </w:p>
    <w:p w14:paraId="162C1B81" w14:textId="77777777" w:rsidR="007445E8" w:rsidRPr="00E4115B" w:rsidRDefault="007445E8" w:rsidP="007445E8">
      <w:pPr>
        <w:rPr>
          <w:rFonts w:ascii="Times New Roman" w:hAnsi="Times New Roman" w:cs="Times New Roman"/>
          <w:sz w:val="24"/>
          <w:szCs w:val="24"/>
        </w:rPr>
      </w:pPr>
    </w:p>
    <w:p w14:paraId="3527D026" w14:textId="77777777" w:rsidR="00955944" w:rsidRPr="00E4115B" w:rsidRDefault="00955944" w:rsidP="004A35D9">
      <w:pPr>
        <w:pStyle w:val="Balk1"/>
      </w:pPr>
      <w:bookmarkStart w:id="23" w:name="_Toc64755917"/>
      <w:r w:rsidRPr="00E4115B">
        <w:t>KONTRATLAR</w:t>
      </w:r>
      <w:bookmarkEnd w:id="23"/>
    </w:p>
    <w:p w14:paraId="536902B1" w14:textId="77777777" w:rsidR="00955944" w:rsidRPr="00E4115B" w:rsidRDefault="00955944" w:rsidP="007445E8">
      <w:pPr>
        <w:pStyle w:val="Balk2"/>
      </w:pPr>
      <w:bookmarkStart w:id="24" w:name="_Toc64755918"/>
      <w:bookmarkStart w:id="25" w:name="_Toc64755919"/>
      <w:bookmarkEnd w:id="24"/>
      <w:r w:rsidRPr="00E4115B">
        <w:t>Kontratlar</w:t>
      </w:r>
      <w:bookmarkEnd w:id="25"/>
    </w:p>
    <w:p w14:paraId="7E9925AD" w14:textId="77777777" w:rsidR="00955944" w:rsidRPr="00E4115B" w:rsidRDefault="00955944" w:rsidP="009E4AAC">
      <w:pPr>
        <w:pStyle w:val="Balk3"/>
        <w:ind w:left="0" w:hanging="11"/>
        <w:rPr>
          <w:b w:val="0"/>
        </w:rPr>
      </w:pPr>
      <w:r w:rsidRPr="00E4115B">
        <w:rPr>
          <w:b w:val="0"/>
        </w:rPr>
        <w:t>VGP’de, piyasa işletmecisi tarafından teslimat dönemi belirlenerek oluşturulan kontratlar işlemlere açılır.</w:t>
      </w:r>
    </w:p>
    <w:p w14:paraId="544754D5" w14:textId="77777777" w:rsidR="00955944" w:rsidRPr="00E4115B" w:rsidRDefault="00955944" w:rsidP="009E4AAC">
      <w:pPr>
        <w:pStyle w:val="Balk3"/>
        <w:ind w:left="0" w:hanging="11"/>
        <w:rPr>
          <w:b w:val="0"/>
        </w:rPr>
      </w:pPr>
      <w:r w:rsidRPr="00E4115B">
        <w:rPr>
          <w:b w:val="0"/>
        </w:rPr>
        <w:t>VGP’de işleme açılacak kontratlara ilişkin hususlar piyasa işletmecisi tarafından STP’de duyurulur.</w:t>
      </w:r>
    </w:p>
    <w:p w14:paraId="4F8E5A4D" w14:textId="77777777" w:rsidR="00955944" w:rsidRPr="00E4115B" w:rsidRDefault="00955944" w:rsidP="009E4AAC">
      <w:pPr>
        <w:pStyle w:val="Balk3"/>
        <w:ind w:left="0" w:hanging="11"/>
        <w:rPr>
          <w:b w:val="0"/>
        </w:rPr>
      </w:pPr>
      <w:r w:rsidRPr="00E4115B">
        <w:rPr>
          <w:b w:val="0"/>
        </w:rPr>
        <w:t>Bu Usul ve Esaslar çerçevesinde, piyasa işletmecisi tarafından piyasa katılımcılarına bildirilmek koşuluyla kontratlara ilişkin hususlarda geçici değişiklikler yapılabilir.</w:t>
      </w:r>
    </w:p>
    <w:p w14:paraId="232B1D88" w14:textId="77777777" w:rsidR="00955944" w:rsidRPr="00E4115B" w:rsidRDefault="00955944" w:rsidP="009E4AAC">
      <w:pPr>
        <w:pStyle w:val="Balk3"/>
        <w:ind w:left="0" w:hanging="11"/>
        <w:rPr>
          <w:b w:val="0"/>
        </w:rPr>
      </w:pPr>
      <w:r w:rsidRPr="00E4115B">
        <w:rPr>
          <w:b w:val="0"/>
        </w:rPr>
        <w:t>Kontratlar madde 10.2’de düzenlenen baz fiyat ile işleme açılır.</w:t>
      </w:r>
    </w:p>
    <w:p w14:paraId="7647D7EC" w14:textId="77777777" w:rsidR="00955944" w:rsidRPr="00E4115B" w:rsidRDefault="00955944" w:rsidP="009E4AAC">
      <w:pPr>
        <w:pStyle w:val="Balk2"/>
      </w:pPr>
      <w:bookmarkStart w:id="26" w:name="_Toc64755920"/>
      <w:r w:rsidRPr="00E4115B">
        <w:t>Teslimat Dönemi</w:t>
      </w:r>
      <w:bookmarkEnd w:id="26"/>
    </w:p>
    <w:p w14:paraId="3D336D8C" w14:textId="77777777" w:rsidR="00955944" w:rsidRPr="00E4115B" w:rsidRDefault="00955944" w:rsidP="009E4AAC">
      <w:pPr>
        <w:pStyle w:val="Balk3"/>
        <w:ind w:left="0" w:hanging="11"/>
        <w:rPr>
          <w:b w:val="0"/>
        </w:rPr>
      </w:pPr>
      <w:r w:rsidRPr="00E4115B">
        <w:rPr>
          <w:b w:val="0"/>
        </w:rPr>
        <w:t>Teslimat dönemi, ilgili kontrata taraf olan piyasa katılımcılarının fiziksel teslimat yükümlülüklerini kapsayan gaz günlerini ifade eder.</w:t>
      </w:r>
    </w:p>
    <w:p w14:paraId="78FE7497" w14:textId="77777777" w:rsidR="00955944" w:rsidRPr="00E4115B" w:rsidRDefault="00955944" w:rsidP="009E4AAC">
      <w:pPr>
        <w:pStyle w:val="Balk3"/>
        <w:ind w:left="0" w:hanging="11"/>
        <w:rPr>
          <w:b w:val="0"/>
        </w:rPr>
      </w:pPr>
      <w:r w:rsidRPr="00E4115B">
        <w:rPr>
          <w:b w:val="0"/>
        </w:rPr>
        <w:t xml:space="preserve">Kontratlar teslimat dönemi bazında ayrıştırılır. </w:t>
      </w:r>
    </w:p>
    <w:p w14:paraId="54CBB1CD" w14:textId="77777777" w:rsidR="00955944" w:rsidRPr="00E4115B" w:rsidRDefault="00955944" w:rsidP="009E4AAC">
      <w:pPr>
        <w:pStyle w:val="Balk3"/>
        <w:ind w:left="0" w:hanging="11"/>
        <w:rPr>
          <w:b w:val="0"/>
        </w:rPr>
      </w:pPr>
      <w:r w:rsidRPr="00E4115B">
        <w:rPr>
          <w:b w:val="0"/>
        </w:rPr>
        <w:t xml:space="preserve">Aylık kontratların özellikleri aşağıda belirtilmektedir; </w:t>
      </w:r>
    </w:p>
    <w:p w14:paraId="2570E382"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a.</w:t>
      </w:r>
      <w:r w:rsidRPr="00E4115B">
        <w:rPr>
          <w:rFonts w:ascii="Times New Roman" w:hAnsi="Times New Roman" w:cs="Times New Roman"/>
          <w:sz w:val="24"/>
          <w:szCs w:val="24"/>
        </w:rPr>
        <w:tab/>
        <w:t>Aylık kontratlarda fiziksel teslimat, ilgili teslimat ayının ilk gaz günü ile başlar, aynı ayın son gaz günü sona erer.</w:t>
      </w:r>
    </w:p>
    <w:p w14:paraId="76D4CA7D"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b.</w:t>
      </w:r>
      <w:r w:rsidRPr="00E4115B">
        <w:rPr>
          <w:rFonts w:ascii="Times New Roman" w:hAnsi="Times New Roman" w:cs="Times New Roman"/>
          <w:sz w:val="24"/>
          <w:szCs w:val="24"/>
        </w:rPr>
        <w:tab/>
        <w:t>VGP’de aynı anda birbirini takip eden 12 adet aylık kontratta işlem yapılabilir.</w:t>
      </w:r>
    </w:p>
    <w:p w14:paraId="5C691C90"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w:t>
      </w:r>
      <w:r w:rsidRPr="00E4115B">
        <w:rPr>
          <w:rFonts w:ascii="Times New Roman" w:hAnsi="Times New Roman" w:cs="Times New Roman"/>
          <w:sz w:val="24"/>
          <w:szCs w:val="24"/>
        </w:rPr>
        <w:tab/>
        <w:t xml:space="preserve">Her bir aylık kontrat, </w:t>
      </w:r>
      <w:r w:rsidR="009E4AAC" w:rsidRPr="00E4115B">
        <w:rPr>
          <w:rFonts w:ascii="Times New Roman" w:hAnsi="Times New Roman" w:cs="Times New Roman"/>
          <w:sz w:val="24"/>
          <w:szCs w:val="24"/>
        </w:rPr>
        <w:t>teslimat döneminin</w:t>
      </w:r>
      <w:r w:rsidRPr="00E4115B">
        <w:rPr>
          <w:rFonts w:ascii="Times New Roman" w:hAnsi="Times New Roman" w:cs="Times New Roman"/>
          <w:sz w:val="24"/>
          <w:szCs w:val="24"/>
        </w:rPr>
        <w:t xml:space="preserve"> ilk </w:t>
      </w:r>
      <w:r w:rsidR="009E4AAC" w:rsidRPr="00E4115B">
        <w:rPr>
          <w:rFonts w:ascii="Times New Roman" w:hAnsi="Times New Roman" w:cs="Times New Roman"/>
          <w:sz w:val="24"/>
          <w:szCs w:val="24"/>
        </w:rPr>
        <w:t>gününden üç</w:t>
      </w:r>
      <w:r w:rsidRPr="00E4115B">
        <w:rPr>
          <w:rFonts w:ascii="Times New Roman" w:hAnsi="Times New Roman" w:cs="Times New Roman"/>
          <w:sz w:val="24"/>
          <w:szCs w:val="24"/>
        </w:rPr>
        <w:t xml:space="preserve"> iş günü önce işleme kapatılır ve teklif defterinde işlem yapılabilecek kontrat sayısı tamamlanacak şekilde yeni aylık kontrat işleme açılır. </w:t>
      </w:r>
    </w:p>
    <w:p w14:paraId="4779A398" w14:textId="77777777" w:rsidR="00955944" w:rsidRPr="00E4115B" w:rsidRDefault="00955944" w:rsidP="009E4AAC">
      <w:pPr>
        <w:pStyle w:val="Balk3"/>
        <w:rPr>
          <w:b w:val="0"/>
        </w:rPr>
      </w:pPr>
      <w:r w:rsidRPr="00E4115B">
        <w:rPr>
          <w:b w:val="0"/>
        </w:rPr>
        <w:t>Çeyreklik kontratların özellikleri aşağıda belirtilmektedir;</w:t>
      </w:r>
    </w:p>
    <w:p w14:paraId="2085CB8C"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a.</w:t>
      </w:r>
      <w:r w:rsidRPr="00E4115B">
        <w:rPr>
          <w:rFonts w:ascii="Times New Roman" w:hAnsi="Times New Roman" w:cs="Times New Roman"/>
          <w:sz w:val="24"/>
          <w:szCs w:val="24"/>
        </w:rPr>
        <w:tab/>
        <w:t>Her bir çeyreklik kontrat aşağıda belirtilen fiziksel teslimat dönemlerini içerir:</w:t>
      </w:r>
    </w:p>
    <w:p w14:paraId="47DE7EB8" w14:textId="77777777" w:rsidR="00955944" w:rsidRPr="00E4115B" w:rsidRDefault="00955944" w:rsidP="009E4AAC">
      <w:pPr>
        <w:ind w:firstLine="708"/>
        <w:jc w:val="both"/>
        <w:rPr>
          <w:rFonts w:ascii="Times New Roman" w:hAnsi="Times New Roman" w:cs="Times New Roman"/>
          <w:sz w:val="24"/>
          <w:szCs w:val="24"/>
        </w:rPr>
      </w:pPr>
      <w:r w:rsidRPr="00E4115B">
        <w:rPr>
          <w:rFonts w:ascii="Times New Roman" w:hAnsi="Times New Roman" w:cs="Times New Roman"/>
          <w:sz w:val="24"/>
          <w:szCs w:val="24"/>
        </w:rPr>
        <w:t>i.</w:t>
      </w:r>
      <w:r w:rsidRPr="00E4115B">
        <w:rPr>
          <w:rFonts w:ascii="Times New Roman" w:hAnsi="Times New Roman" w:cs="Times New Roman"/>
          <w:sz w:val="24"/>
          <w:szCs w:val="24"/>
        </w:rPr>
        <w:tab/>
        <w:t>Birinci çeyreklik kontrat; Ocak ayının ilk gaz günü başlar, Mart ayının son gaz günü sona erer.</w:t>
      </w:r>
    </w:p>
    <w:p w14:paraId="3DB02FE9" w14:textId="77777777" w:rsidR="00955944" w:rsidRPr="00E4115B" w:rsidRDefault="00955944" w:rsidP="009E4AAC">
      <w:pPr>
        <w:ind w:firstLine="708"/>
        <w:jc w:val="both"/>
        <w:rPr>
          <w:rFonts w:ascii="Times New Roman" w:hAnsi="Times New Roman" w:cs="Times New Roman"/>
          <w:sz w:val="24"/>
          <w:szCs w:val="24"/>
        </w:rPr>
      </w:pPr>
      <w:r w:rsidRPr="00E4115B">
        <w:rPr>
          <w:rFonts w:ascii="Times New Roman" w:hAnsi="Times New Roman" w:cs="Times New Roman"/>
          <w:sz w:val="24"/>
          <w:szCs w:val="24"/>
        </w:rPr>
        <w:t>ii.</w:t>
      </w:r>
      <w:r w:rsidRPr="00E4115B">
        <w:rPr>
          <w:rFonts w:ascii="Times New Roman" w:hAnsi="Times New Roman" w:cs="Times New Roman"/>
          <w:sz w:val="24"/>
          <w:szCs w:val="24"/>
        </w:rPr>
        <w:tab/>
        <w:t>İkinci çeyreklik kontrat; Nisan ayının ilk gaz günü başlar, Haziran ayının son gaz günü sona erer.</w:t>
      </w:r>
    </w:p>
    <w:p w14:paraId="2B2ADA08" w14:textId="77777777" w:rsidR="00955944" w:rsidRPr="00E4115B" w:rsidRDefault="00955944" w:rsidP="009E4AAC">
      <w:pPr>
        <w:ind w:firstLine="708"/>
        <w:jc w:val="both"/>
        <w:rPr>
          <w:rFonts w:ascii="Times New Roman" w:hAnsi="Times New Roman" w:cs="Times New Roman"/>
          <w:sz w:val="24"/>
          <w:szCs w:val="24"/>
        </w:rPr>
      </w:pPr>
      <w:r w:rsidRPr="00E4115B">
        <w:rPr>
          <w:rFonts w:ascii="Times New Roman" w:hAnsi="Times New Roman" w:cs="Times New Roman"/>
          <w:sz w:val="24"/>
          <w:szCs w:val="24"/>
        </w:rPr>
        <w:t>iii.</w:t>
      </w:r>
      <w:r w:rsidRPr="00E4115B">
        <w:rPr>
          <w:rFonts w:ascii="Times New Roman" w:hAnsi="Times New Roman" w:cs="Times New Roman"/>
          <w:sz w:val="24"/>
          <w:szCs w:val="24"/>
        </w:rPr>
        <w:tab/>
        <w:t>Üçüncü çeyreklik kontrat; Temmuz ayının ilk gaz günü başlar, Eylül ayının son gaz günü sona erer.</w:t>
      </w:r>
    </w:p>
    <w:p w14:paraId="25FB3D53" w14:textId="77777777" w:rsidR="00955944" w:rsidRPr="00E4115B" w:rsidRDefault="00955944" w:rsidP="009E4AAC">
      <w:pPr>
        <w:ind w:firstLine="708"/>
        <w:jc w:val="both"/>
        <w:rPr>
          <w:rFonts w:ascii="Times New Roman" w:hAnsi="Times New Roman" w:cs="Times New Roman"/>
          <w:sz w:val="24"/>
          <w:szCs w:val="24"/>
        </w:rPr>
      </w:pPr>
      <w:r w:rsidRPr="00E4115B">
        <w:rPr>
          <w:rFonts w:ascii="Times New Roman" w:hAnsi="Times New Roman" w:cs="Times New Roman"/>
          <w:sz w:val="24"/>
          <w:szCs w:val="24"/>
        </w:rPr>
        <w:t>iv.</w:t>
      </w:r>
      <w:r w:rsidRPr="00E4115B">
        <w:rPr>
          <w:rFonts w:ascii="Times New Roman" w:hAnsi="Times New Roman" w:cs="Times New Roman"/>
          <w:sz w:val="24"/>
          <w:szCs w:val="24"/>
        </w:rPr>
        <w:tab/>
        <w:t>Dördüncü çeyreklik kontrat; Ekim ayının ilk gaz günü başlar, Aralık ayının son gaz günü sona erer.</w:t>
      </w:r>
    </w:p>
    <w:p w14:paraId="326C5984"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b.</w:t>
      </w:r>
      <w:r w:rsidRPr="00E4115B">
        <w:rPr>
          <w:rFonts w:ascii="Times New Roman" w:hAnsi="Times New Roman" w:cs="Times New Roman"/>
          <w:sz w:val="24"/>
          <w:szCs w:val="24"/>
        </w:rPr>
        <w:tab/>
        <w:t xml:space="preserve">VGP’de aynı anda birbirini takip eden 4 adet çeyreklik kontratta işlem yapılabilir. </w:t>
      </w:r>
    </w:p>
    <w:p w14:paraId="01B2F7EC" w14:textId="77777777" w:rsidR="00955944" w:rsidRPr="00E4115B" w:rsidRDefault="00955944" w:rsidP="00C63473">
      <w:pPr>
        <w:jc w:val="both"/>
        <w:rPr>
          <w:rFonts w:ascii="Times New Roman" w:hAnsi="Times New Roman" w:cs="Times New Roman"/>
          <w:color w:val="FF0000"/>
          <w:sz w:val="24"/>
          <w:szCs w:val="24"/>
          <w:u w:val="single"/>
        </w:rPr>
      </w:pPr>
      <w:r w:rsidRPr="00E4115B">
        <w:rPr>
          <w:rFonts w:ascii="Times New Roman" w:hAnsi="Times New Roman" w:cs="Times New Roman"/>
          <w:sz w:val="24"/>
          <w:szCs w:val="24"/>
        </w:rPr>
        <w:t>c.</w:t>
      </w:r>
      <w:r w:rsidRPr="00E4115B">
        <w:rPr>
          <w:rFonts w:ascii="Times New Roman" w:hAnsi="Times New Roman" w:cs="Times New Roman"/>
          <w:sz w:val="24"/>
          <w:szCs w:val="24"/>
        </w:rPr>
        <w:tab/>
        <w:t>Her bir çeyreklik kontrat,  teslimat döneminin ilk gününden üç iş günü önce işleme kapatılır ve teklif defterinde işlem yapılabilecek kontrat sayısı tamamlanacak şekilde yeni çeyreklik kontrat işleme açılır.</w:t>
      </w:r>
    </w:p>
    <w:p w14:paraId="49DDB97A" w14:textId="77777777" w:rsidR="00955944" w:rsidRPr="00E4115B" w:rsidRDefault="00955944" w:rsidP="009E4AAC">
      <w:pPr>
        <w:pStyle w:val="Balk3"/>
        <w:rPr>
          <w:b w:val="0"/>
        </w:rPr>
      </w:pPr>
      <w:r w:rsidRPr="00E4115B">
        <w:rPr>
          <w:b w:val="0"/>
        </w:rPr>
        <w:t>Yıllık kontratların özellikleri aşağıda belirtilmektedir;</w:t>
      </w:r>
    </w:p>
    <w:p w14:paraId="5A21659F"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a.</w:t>
      </w:r>
      <w:r w:rsidRPr="00E4115B">
        <w:rPr>
          <w:rFonts w:ascii="Times New Roman" w:hAnsi="Times New Roman" w:cs="Times New Roman"/>
          <w:sz w:val="24"/>
          <w:szCs w:val="24"/>
        </w:rPr>
        <w:tab/>
        <w:t>Yıllık kontratlarda fiziksel teslimat, her yılın 1 Ocak gaz günü başlar, aynı yılın 31 Aralık gaz günü ile sona erer. VGP’de 1 adet yıllık kontrat işleme açıktır.</w:t>
      </w:r>
    </w:p>
    <w:p w14:paraId="4E446F9C" w14:textId="77777777" w:rsidR="00955944" w:rsidRPr="00E4115B" w:rsidRDefault="00955944" w:rsidP="00C63473">
      <w:pPr>
        <w:jc w:val="both"/>
        <w:rPr>
          <w:rFonts w:ascii="Times New Roman" w:hAnsi="Times New Roman" w:cs="Times New Roman"/>
          <w:color w:val="FF0000"/>
          <w:sz w:val="24"/>
          <w:szCs w:val="24"/>
          <w:u w:val="single"/>
        </w:rPr>
      </w:pPr>
      <w:r w:rsidRPr="00E4115B">
        <w:rPr>
          <w:rFonts w:ascii="Times New Roman" w:hAnsi="Times New Roman" w:cs="Times New Roman"/>
          <w:sz w:val="24"/>
          <w:szCs w:val="24"/>
        </w:rPr>
        <w:t>b.</w:t>
      </w:r>
      <w:r w:rsidRPr="00E4115B">
        <w:rPr>
          <w:rFonts w:ascii="Times New Roman" w:hAnsi="Times New Roman" w:cs="Times New Roman"/>
          <w:sz w:val="24"/>
          <w:szCs w:val="24"/>
        </w:rPr>
        <w:tab/>
        <w:t>Her bir yıllık kontrat, teslimat döneminin ilk gününden beş iş günü önce işleme kapatılır ve teklif defterinde işlem yapılabilecek kontrat sayısı tamamlanacak şekilde yeni yıllık kontrat işleme açılır.</w:t>
      </w:r>
    </w:p>
    <w:p w14:paraId="327A8E43" w14:textId="77777777" w:rsidR="00955944" w:rsidRPr="00E4115B" w:rsidRDefault="00955944" w:rsidP="009E4AAC">
      <w:pPr>
        <w:pStyle w:val="Balk2"/>
      </w:pPr>
      <w:bookmarkStart w:id="27" w:name="_Toc64755921"/>
      <w:r w:rsidRPr="00E4115B">
        <w:t>Kontratların Basamaklandırılması</w:t>
      </w:r>
      <w:bookmarkEnd w:id="27"/>
    </w:p>
    <w:p w14:paraId="22B06AF8" w14:textId="77777777" w:rsidR="00955944" w:rsidRPr="00E4115B" w:rsidRDefault="00955944" w:rsidP="009E4AAC">
      <w:pPr>
        <w:pStyle w:val="Balk3"/>
        <w:ind w:left="0" w:hanging="11"/>
        <w:rPr>
          <w:b w:val="0"/>
        </w:rPr>
      </w:pPr>
      <w:r w:rsidRPr="00E4115B">
        <w:rPr>
          <w:b w:val="0"/>
        </w:rPr>
        <w:t>Kontratların basamaklandırılması, piyasa işletmecisi tarafından işleme açılacak olan yıllık ve çeyreklik kontratların madde 6.3.2’de belirtilen sürelerde sonlandırılarak, yıllık kontratlardaki açık pozisyonların çeyreklik kontratlara, çeyreklik kontratlardaki açık pozisyonların aylık kontratlara aktarılması işlemidir. Teslimat dönemi bir aydan uzun süreli kontratlar için basamaklandırma işlemi yapılır.</w:t>
      </w:r>
    </w:p>
    <w:p w14:paraId="650482A2" w14:textId="77777777" w:rsidR="00955944" w:rsidRPr="00E4115B" w:rsidRDefault="00955944" w:rsidP="009E4AAC">
      <w:pPr>
        <w:pStyle w:val="Balk3"/>
        <w:ind w:left="0" w:hanging="11"/>
        <w:rPr>
          <w:b w:val="0"/>
        </w:rPr>
      </w:pPr>
      <w:r w:rsidRPr="00E4115B">
        <w:rPr>
          <w:b w:val="0"/>
        </w:rPr>
        <w:t xml:space="preserve">Basamaklandırma işlemi; </w:t>
      </w:r>
    </w:p>
    <w:p w14:paraId="7914792F"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a.</w:t>
      </w:r>
      <w:r w:rsidRPr="00E4115B">
        <w:rPr>
          <w:rFonts w:ascii="Times New Roman" w:hAnsi="Times New Roman" w:cs="Times New Roman"/>
          <w:sz w:val="24"/>
          <w:szCs w:val="24"/>
        </w:rPr>
        <w:tab/>
        <w:t>Yıllık kontratların, piyasa işletmecisi tarafından teslimat döneminden beş iş günü önce, aynı gün günlük gösterge fiyatı ilanını müteakip işleme kapatılmasını ve ilgili kontrattaki açık pozisyonların aynı yılı kapsayan 4 adet çeyreklik kontrata aktarılmasını,</w:t>
      </w:r>
    </w:p>
    <w:p w14:paraId="2179F557"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b.</w:t>
      </w:r>
      <w:r w:rsidRPr="00E4115B">
        <w:rPr>
          <w:rFonts w:ascii="Times New Roman" w:hAnsi="Times New Roman" w:cs="Times New Roman"/>
          <w:sz w:val="24"/>
          <w:szCs w:val="24"/>
        </w:rPr>
        <w:tab/>
        <w:t>Çeyreklik kontratların, piyasa işletmecisi tarafından teslimat döneminden üç iş günü önce, aynı gün günlük gösterge fiyatı ilanını müteakip işleme kapatılmasını ve ilgili kontrattaki açık pozisyonların aynı çeyreği kapsayan 3 adet aylık kontrata aktarılmasını,</w:t>
      </w:r>
    </w:p>
    <w:p w14:paraId="5EC5C86B"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ifade eder. </w:t>
      </w:r>
    </w:p>
    <w:p w14:paraId="64A6AB74" w14:textId="77777777" w:rsidR="00955944" w:rsidRPr="00E4115B" w:rsidRDefault="00955944" w:rsidP="009E4AAC">
      <w:pPr>
        <w:pStyle w:val="Balk3"/>
        <w:ind w:left="0" w:hanging="11"/>
        <w:rPr>
          <w:b w:val="0"/>
        </w:rPr>
      </w:pPr>
      <w:r w:rsidRPr="00E4115B">
        <w:rPr>
          <w:b w:val="0"/>
        </w:rPr>
        <w:t>Piyasa katılımcılarının, basamaklandırma işlemi sonucunda yeni kontratlara aktarılan pozisyonları ile aynı kontrata ilişkin varsa ters yönlü pozisyonları netleştirilir.</w:t>
      </w:r>
    </w:p>
    <w:p w14:paraId="690C6145" w14:textId="77777777" w:rsidR="00955944" w:rsidRPr="00E4115B" w:rsidRDefault="00955944" w:rsidP="009E4AAC">
      <w:pPr>
        <w:pStyle w:val="Balk2"/>
      </w:pPr>
      <w:bookmarkStart w:id="28" w:name="_Toc64755922"/>
      <w:r w:rsidRPr="00E4115B">
        <w:t>Kontratların Askıya Alınması</w:t>
      </w:r>
      <w:bookmarkEnd w:id="28"/>
    </w:p>
    <w:p w14:paraId="1AFC95FF" w14:textId="77777777" w:rsidR="00955944" w:rsidRPr="00E4115B" w:rsidRDefault="00955944" w:rsidP="009E4AAC">
      <w:pPr>
        <w:pStyle w:val="Balk3"/>
        <w:ind w:left="0" w:hanging="11"/>
        <w:rPr>
          <w:b w:val="0"/>
        </w:rPr>
      </w:pPr>
      <w:r w:rsidRPr="00E4115B">
        <w:rPr>
          <w:b w:val="0"/>
        </w:rPr>
        <w:t>Piyasa işletmecisi, aşağıda yazılı durumlardan en az birinin varlığı hâlinde, ilgili kontratları veya seansı geçici olarak askıya alabilir:</w:t>
      </w:r>
    </w:p>
    <w:p w14:paraId="671309C3" w14:textId="53AC823F" w:rsidR="00955944" w:rsidRPr="004C5107"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a.</w:t>
      </w:r>
      <w:r w:rsidRPr="00E4115B">
        <w:rPr>
          <w:rFonts w:ascii="Times New Roman" w:hAnsi="Times New Roman" w:cs="Times New Roman"/>
          <w:sz w:val="24"/>
          <w:szCs w:val="24"/>
        </w:rPr>
        <w:tab/>
      </w:r>
      <w:r w:rsidRPr="004C5107">
        <w:rPr>
          <w:rFonts w:ascii="Times New Roman" w:hAnsi="Times New Roman" w:cs="Times New Roman"/>
          <w:sz w:val="24"/>
          <w:szCs w:val="24"/>
        </w:rPr>
        <w:t>VGP’deki fiyatları etkileyecek önemli bilgi, haber ve</w:t>
      </w:r>
      <w:r w:rsidR="003A6B2B" w:rsidRPr="004C5107">
        <w:rPr>
          <w:rFonts w:ascii="Times New Roman" w:hAnsi="Times New Roman" w:cs="Times New Roman"/>
          <w:sz w:val="24"/>
          <w:szCs w:val="24"/>
        </w:rPr>
        <w:t>/veya</w:t>
      </w:r>
      <w:r w:rsidRPr="004C5107">
        <w:rPr>
          <w:rFonts w:ascii="Times New Roman" w:hAnsi="Times New Roman" w:cs="Times New Roman"/>
          <w:sz w:val="24"/>
          <w:szCs w:val="24"/>
        </w:rPr>
        <w:t xml:space="preserve"> olağan dışı gelişmelerin meydana gelmesi.</w:t>
      </w:r>
    </w:p>
    <w:p w14:paraId="606A6B89" w14:textId="77777777" w:rsidR="00955944" w:rsidRPr="00E4115B" w:rsidRDefault="00955944" w:rsidP="00C63473">
      <w:pPr>
        <w:jc w:val="both"/>
        <w:rPr>
          <w:rFonts w:ascii="Times New Roman" w:hAnsi="Times New Roman" w:cs="Times New Roman"/>
          <w:sz w:val="24"/>
          <w:szCs w:val="24"/>
        </w:rPr>
      </w:pPr>
      <w:r w:rsidRPr="004C5107">
        <w:rPr>
          <w:rFonts w:ascii="Times New Roman" w:hAnsi="Times New Roman" w:cs="Times New Roman"/>
          <w:sz w:val="24"/>
          <w:szCs w:val="24"/>
        </w:rPr>
        <w:t>b.</w:t>
      </w:r>
      <w:r w:rsidRPr="004C5107">
        <w:rPr>
          <w:rFonts w:ascii="Times New Roman" w:hAnsi="Times New Roman" w:cs="Times New Roman"/>
          <w:sz w:val="24"/>
          <w:szCs w:val="24"/>
        </w:rPr>
        <w:tab/>
        <w:t>Piyasa katılımcıları tarafından günlük gösterge fiyatının güvenilir bir şekilde belirlenmesini engelleyebilecek işlemlerin gerçekleştirilmesi.</w:t>
      </w:r>
    </w:p>
    <w:p w14:paraId="6DAC3D9C"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w:t>
      </w:r>
      <w:r w:rsidRPr="00E4115B">
        <w:rPr>
          <w:rFonts w:ascii="Times New Roman" w:hAnsi="Times New Roman" w:cs="Times New Roman"/>
          <w:sz w:val="24"/>
          <w:szCs w:val="24"/>
        </w:rPr>
        <w:tab/>
        <w:t>İşlemlerin sağlıklı bir şekilde yürütülmesini engelleyici teknik problemlerin ortaya çıkması.</w:t>
      </w:r>
    </w:p>
    <w:p w14:paraId="03C47785"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955944" w:rsidRPr="00E4115B">
        <w:rPr>
          <w:rFonts w:ascii="Times New Roman" w:hAnsi="Times New Roman" w:cs="Times New Roman"/>
          <w:sz w:val="24"/>
          <w:szCs w:val="24"/>
        </w:rPr>
        <w:t>.</w:t>
      </w:r>
      <w:r w:rsidR="00955944" w:rsidRPr="00E4115B">
        <w:rPr>
          <w:rFonts w:ascii="Times New Roman" w:hAnsi="Times New Roman" w:cs="Times New Roman"/>
          <w:sz w:val="24"/>
          <w:szCs w:val="24"/>
        </w:rPr>
        <w:tab/>
        <w:t>Piyasa işletmecisi tarafından işletilen platformlarda gerçekleştirilecek planlı bakım ve alt yapı çalışmalarının yürütülmesi.</w:t>
      </w:r>
    </w:p>
    <w:p w14:paraId="2329E7E2"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955944" w:rsidRPr="00E4115B">
        <w:rPr>
          <w:rFonts w:ascii="Times New Roman" w:hAnsi="Times New Roman" w:cs="Times New Roman"/>
          <w:sz w:val="24"/>
          <w:szCs w:val="24"/>
        </w:rPr>
        <w:t>.      Bu madde çerçevesinde yapılmış olan işlemlere ilişkin olarak Kuruma bilgi verilir.</w:t>
      </w:r>
    </w:p>
    <w:p w14:paraId="4CDEFF14" w14:textId="77777777" w:rsidR="00955944" w:rsidRPr="00E4115B" w:rsidRDefault="00955944" w:rsidP="009E4AAC">
      <w:pPr>
        <w:pStyle w:val="Balk3"/>
        <w:ind w:left="0" w:hanging="11"/>
        <w:rPr>
          <w:b w:val="0"/>
        </w:rPr>
      </w:pPr>
      <w:r w:rsidRPr="00E4115B">
        <w:rPr>
          <w:b w:val="0"/>
        </w:rPr>
        <w:t xml:space="preserve">Piyasa işletmecisi tarafından kontratların askıya alınması halinde bu durum gerekçesiyle birlikte piyasa katılımcılarına duyurulur. </w:t>
      </w:r>
    </w:p>
    <w:p w14:paraId="21EC8194" w14:textId="77777777" w:rsidR="00955944" w:rsidRPr="00E4115B" w:rsidRDefault="00955944" w:rsidP="009E4AAC">
      <w:pPr>
        <w:pStyle w:val="Balk3"/>
        <w:ind w:left="0" w:hanging="11"/>
        <w:rPr>
          <w:b w:val="0"/>
        </w:rPr>
      </w:pPr>
      <w:r w:rsidRPr="00E4115B">
        <w:rPr>
          <w:b w:val="0"/>
        </w:rPr>
        <w:t>Kontratların veya seansın askıya alınması halinde, ilgili kontrat ve/veya kontratlara ait aktif tekliflerin tamamı askıya alınır.</w:t>
      </w:r>
    </w:p>
    <w:p w14:paraId="0933C00B" w14:textId="77777777" w:rsidR="00955944" w:rsidRDefault="00955944" w:rsidP="00C63473">
      <w:pPr>
        <w:pStyle w:val="Balk3"/>
        <w:ind w:left="0" w:hanging="11"/>
        <w:rPr>
          <w:b w:val="0"/>
        </w:rPr>
      </w:pPr>
      <w:r w:rsidRPr="00E4115B">
        <w:rPr>
          <w:b w:val="0"/>
        </w:rPr>
        <w:t>Bir kontratın askıya alınması halinde, söz konusu kontrat piyasa işletmecisi tarafından belirlenen yöntemlerle ilan edilen baz fiyat ile yeniden işleme açılabilir</w:t>
      </w:r>
    </w:p>
    <w:p w14:paraId="215B1F18" w14:textId="77777777" w:rsidR="004A35D9" w:rsidRPr="004A35D9" w:rsidRDefault="004A35D9" w:rsidP="004A35D9"/>
    <w:p w14:paraId="3FC49EEE" w14:textId="77777777" w:rsidR="00955944" w:rsidRPr="00E4115B" w:rsidRDefault="00955944" w:rsidP="004A35D9">
      <w:pPr>
        <w:pStyle w:val="Balk1"/>
      </w:pPr>
      <w:bookmarkStart w:id="29" w:name="_Toc64755923"/>
      <w:r w:rsidRPr="00E4115B">
        <w:t>GÜNLÜK İŞ AKIŞI, SEANSLAR</w:t>
      </w:r>
      <w:bookmarkEnd w:id="29"/>
    </w:p>
    <w:p w14:paraId="7511E7AD" w14:textId="77777777" w:rsidR="00955944" w:rsidRPr="00E4115B" w:rsidRDefault="00955944" w:rsidP="009E4AAC">
      <w:pPr>
        <w:pStyle w:val="Balk2"/>
      </w:pPr>
      <w:bookmarkStart w:id="30" w:name="_Toc64755924"/>
      <w:bookmarkStart w:id="31" w:name="_Toc64755925"/>
      <w:bookmarkEnd w:id="30"/>
      <w:r w:rsidRPr="00E4115B">
        <w:t>Günlük İş Akış Süreçleri</w:t>
      </w:r>
      <w:bookmarkEnd w:id="31"/>
    </w:p>
    <w:p w14:paraId="4AF1C22C" w14:textId="77777777" w:rsidR="00955944" w:rsidRPr="00E4115B" w:rsidRDefault="00955944" w:rsidP="009E4AAC">
      <w:pPr>
        <w:pStyle w:val="Balk3"/>
        <w:ind w:left="0" w:hanging="11"/>
        <w:rPr>
          <w:b w:val="0"/>
        </w:rPr>
      </w:pPr>
      <w:r w:rsidRPr="00E4115B">
        <w:rPr>
          <w:b w:val="0"/>
        </w:rPr>
        <w:t>VGP’de günlük iş akışı içerisinde; seans öncesi, seans, seans sonrası, günlük gösterge fiyatının ilanı ve gün sonu işlemleri yer alır.</w:t>
      </w:r>
    </w:p>
    <w:p w14:paraId="37B2E23C" w14:textId="32F76EBC" w:rsidR="00955944" w:rsidRPr="00E4115B" w:rsidRDefault="00955944" w:rsidP="009E4AAC">
      <w:pPr>
        <w:pStyle w:val="Balk3"/>
        <w:ind w:left="0" w:hanging="11"/>
        <w:rPr>
          <w:b w:val="0"/>
        </w:rPr>
      </w:pPr>
      <w:r w:rsidRPr="00E4115B">
        <w:rPr>
          <w:b w:val="0"/>
        </w:rPr>
        <w:t xml:space="preserve">Piyasa işletmecisi tarafından </w:t>
      </w:r>
      <w:r w:rsidR="00017BF3">
        <w:rPr>
          <w:b w:val="0"/>
        </w:rPr>
        <w:t xml:space="preserve">PUE’nin 11.1 maddesinde belirtilen olağandışı durumların ortaya çıkması durumu hariç olmak üzere, </w:t>
      </w:r>
      <w:r w:rsidRPr="00E4115B">
        <w:rPr>
          <w:b w:val="0"/>
        </w:rPr>
        <w:t>piyasa katılımcılarına en az 2 iş günü öncesinde haber vermesi kaydıyla seans başlangıç ve bitiş saatlerinde ilgili gün için geçici olarak değişiklik yapılabilir. Piyasa işletmecisi tarafından geçici olarak seans başlangıç ve bitiş saatlerinde değişiklik yapılması durumunda, seans sonrası, GGF ilanı ve gün sonu işlemleri sürecinde de değişiklik yapılabilir ve söz konusu değişiklikler STP aracılığıyla piyasa katılımcılarına bildirilir.</w:t>
      </w:r>
    </w:p>
    <w:p w14:paraId="649DDFE0" w14:textId="77777777" w:rsidR="00955944" w:rsidRPr="00E4115B" w:rsidRDefault="00955944" w:rsidP="009E4AAC">
      <w:pPr>
        <w:pStyle w:val="Balk2"/>
      </w:pPr>
      <w:bookmarkStart w:id="32" w:name="_Toc64755926"/>
      <w:r w:rsidRPr="00E4115B">
        <w:lastRenderedPageBreak/>
        <w:t>Seans Öncesi</w:t>
      </w:r>
      <w:bookmarkEnd w:id="32"/>
      <w:r w:rsidRPr="00E4115B">
        <w:t xml:space="preserve"> </w:t>
      </w:r>
    </w:p>
    <w:p w14:paraId="17A28A8A" w14:textId="77777777" w:rsidR="00955944" w:rsidRPr="00E4115B" w:rsidRDefault="00955944" w:rsidP="009E4AAC">
      <w:pPr>
        <w:pStyle w:val="Balk3"/>
        <w:ind w:left="0" w:hanging="11"/>
        <w:rPr>
          <w:b w:val="0"/>
        </w:rPr>
      </w:pPr>
      <w:r w:rsidRPr="00E4115B">
        <w:rPr>
          <w:b w:val="0"/>
        </w:rPr>
        <w:t>Vadeli doğal gaz piyasasında, kontratların işlem gördüğü işlem günlerinde bir önceki gün gün sonu işlemlerinin bitiş zamanından seans açılışına kadar olan dönem seans öncesi olarak tanımlanır. Seans öncesinde ilgili STP ekranlarına erişim sağlanmakla birlikte aktif teklif girişi ve eşleşme işlemi gerçekleştirilemez. Seans öncesinde piyasa katılımcıları;</w:t>
      </w:r>
    </w:p>
    <w:p w14:paraId="51A994C4"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a. STP’de yer alan ilgili ekranlara erişim sağlayabilir.</w:t>
      </w:r>
    </w:p>
    <w:p w14:paraId="71BD0BBA"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b. Teminat durumunu, açık pozisyonlarını, tekliflerini sorgulayabilir.</w:t>
      </w:r>
    </w:p>
    <w:p w14:paraId="7C77C751"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  Önceki işlem günlerinden kalan tekliflerini iptal edebilir veya pasif hale getirebilir.</w:t>
      </w:r>
    </w:p>
    <w:p w14:paraId="1A266C3C"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955944" w:rsidRPr="00E4115B">
        <w:rPr>
          <w:rFonts w:ascii="Times New Roman" w:hAnsi="Times New Roman" w:cs="Times New Roman"/>
          <w:sz w:val="24"/>
          <w:szCs w:val="24"/>
        </w:rPr>
        <w:t>.  Teklif defterine daha sonra gönderilmek üzere tekliflerini pasif olarak kaydedebilir.</w:t>
      </w:r>
    </w:p>
    <w:p w14:paraId="4F12EC5F"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955944" w:rsidRPr="00E4115B">
        <w:rPr>
          <w:rFonts w:ascii="Times New Roman" w:hAnsi="Times New Roman" w:cs="Times New Roman"/>
          <w:sz w:val="24"/>
          <w:szCs w:val="24"/>
        </w:rPr>
        <w:t>.  Geçmiş seanslarda gerçekleşen eşleşmelerini, verdiği teklifleri, geçmiş seansların işlem akışlarını ve gerçekleştirilen basamaklandırma işlemlerini kontrol edebilir.</w:t>
      </w:r>
    </w:p>
    <w:p w14:paraId="2402E9A8" w14:textId="77777777" w:rsidR="00955944" w:rsidRPr="00E4115B" w:rsidRDefault="00955944" w:rsidP="007966DB">
      <w:pPr>
        <w:spacing w:after="0"/>
        <w:jc w:val="both"/>
        <w:rPr>
          <w:rFonts w:ascii="Times New Roman" w:hAnsi="Times New Roman" w:cs="Times New Roman"/>
          <w:sz w:val="24"/>
          <w:szCs w:val="24"/>
        </w:rPr>
      </w:pPr>
    </w:p>
    <w:p w14:paraId="1ECA9026" w14:textId="77777777" w:rsidR="00955944" w:rsidRPr="00E4115B" w:rsidRDefault="00955944" w:rsidP="009E4AAC">
      <w:pPr>
        <w:pStyle w:val="Balk3"/>
        <w:ind w:left="0" w:hanging="11"/>
        <w:rPr>
          <w:b w:val="0"/>
        </w:rPr>
      </w:pPr>
      <w:r w:rsidRPr="00E4115B">
        <w:rPr>
          <w:b w:val="0"/>
        </w:rPr>
        <w:t>Seans sonrası dönemde askıya alınan teklifler, seans başlangıcında bu Usul ve Esaslarda düzenlenen teklif bildirim koşullarını sağlaması durumunda önceliğini kaybetmeyerek teklif defterinde yerini alır.</w:t>
      </w:r>
    </w:p>
    <w:p w14:paraId="5C08CB88" w14:textId="77777777" w:rsidR="00955944" w:rsidRPr="00E4115B" w:rsidRDefault="00955944" w:rsidP="009E4AAC">
      <w:pPr>
        <w:pStyle w:val="Balk2"/>
        <w:ind w:left="0" w:hanging="11"/>
      </w:pPr>
      <w:bookmarkStart w:id="33" w:name="_Toc64755927"/>
      <w:r w:rsidRPr="00E4115B">
        <w:t>Seans</w:t>
      </w:r>
      <w:bookmarkEnd w:id="33"/>
      <w:r w:rsidRPr="00E4115B">
        <w:t xml:space="preserve"> </w:t>
      </w:r>
    </w:p>
    <w:p w14:paraId="5875166B" w14:textId="77777777" w:rsidR="00955944" w:rsidRPr="00E4115B" w:rsidRDefault="00955944" w:rsidP="009E4AAC">
      <w:pPr>
        <w:pStyle w:val="Balk3"/>
        <w:ind w:left="0" w:hanging="11"/>
        <w:rPr>
          <w:b w:val="0"/>
        </w:rPr>
      </w:pPr>
      <w:r w:rsidRPr="00E4115B">
        <w:rPr>
          <w:b w:val="0"/>
        </w:rPr>
        <w:t>VGP’nin işleme açık olan iş günlerinde seans 13:00’te başlar, 16:00’da biter. VGP hafta sonu veya resmi tatil günlerinde ve yarım gün resmi tatil olan iş günlerinde işleme kapalıdır.</w:t>
      </w:r>
    </w:p>
    <w:p w14:paraId="1EE9E3EF" w14:textId="77777777" w:rsidR="00955944" w:rsidRPr="00E4115B" w:rsidRDefault="00955944" w:rsidP="009E4AAC">
      <w:pPr>
        <w:pStyle w:val="Balk3"/>
        <w:ind w:left="0" w:hanging="11"/>
        <w:rPr>
          <w:b w:val="0"/>
        </w:rPr>
      </w:pPr>
      <w:r w:rsidRPr="00E4115B">
        <w:rPr>
          <w:b w:val="0"/>
        </w:rPr>
        <w:t>Seans içinde piyasa katılımcıları;</w:t>
      </w:r>
    </w:p>
    <w:p w14:paraId="0DDA123B"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a.  Teklif girişi yapabilir.</w:t>
      </w:r>
    </w:p>
    <w:p w14:paraId="01FA2313"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b. Aktif ve pasif tekliflerinin miktar ve fiyatlarını değiştirebilir.</w:t>
      </w:r>
    </w:p>
    <w:p w14:paraId="742047DF"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  Aktif tekliflerini iptal edebilir veya pasif hale getirebilir.</w:t>
      </w:r>
    </w:p>
    <w:p w14:paraId="15722A28"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955944" w:rsidRPr="00E4115B">
        <w:rPr>
          <w:rFonts w:ascii="Times New Roman" w:hAnsi="Times New Roman" w:cs="Times New Roman"/>
          <w:sz w:val="24"/>
          <w:szCs w:val="24"/>
        </w:rPr>
        <w:t>. Pasif tekliflerini aktif ederek teklif defterine gönderebilir veya iptal edebilir.</w:t>
      </w:r>
    </w:p>
    <w:p w14:paraId="57C7F98D"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955944" w:rsidRPr="00E4115B">
        <w:rPr>
          <w:rFonts w:ascii="Times New Roman" w:hAnsi="Times New Roman" w:cs="Times New Roman"/>
          <w:sz w:val="24"/>
          <w:szCs w:val="24"/>
        </w:rPr>
        <w:t xml:space="preserve">. Belirlenen süreler içerisinde itirazda bulunabilir. İtirazlar, seans sonrası dönemine sarkabilir. </w:t>
      </w:r>
    </w:p>
    <w:p w14:paraId="2DBD78D4"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e</w:t>
      </w:r>
      <w:r w:rsidR="00955944" w:rsidRPr="00E4115B">
        <w:rPr>
          <w:rFonts w:ascii="Times New Roman" w:hAnsi="Times New Roman" w:cs="Times New Roman"/>
          <w:sz w:val="24"/>
          <w:szCs w:val="24"/>
        </w:rPr>
        <w:t>.  Geçmiş seanslarda gerçekleşen eşleşmelerini, verdiği teklifleri, geçmiş seansların işlem akışlarını ve gerçekleştirilen basamaklandırma işlemlerini kontrol edebilir.</w:t>
      </w:r>
    </w:p>
    <w:p w14:paraId="58D1385A" w14:textId="77777777" w:rsidR="005A22F3" w:rsidRPr="00E4115B" w:rsidRDefault="00955944" w:rsidP="009E4AAC">
      <w:pPr>
        <w:pStyle w:val="Balk2"/>
      </w:pPr>
      <w:bookmarkStart w:id="34" w:name="_Toc64755928"/>
      <w:r w:rsidRPr="00E4115B">
        <w:t>Seans Sonrası</w:t>
      </w:r>
      <w:bookmarkEnd w:id="34"/>
    </w:p>
    <w:p w14:paraId="6D6BBEA4" w14:textId="77777777" w:rsidR="00955944" w:rsidRPr="00E4115B" w:rsidRDefault="00955944" w:rsidP="009E4AAC">
      <w:pPr>
        <w:pStyle w:val="Balk3"/>
        <w:ind w:left="0" w:hanging="11"/>
        <w:rPr>
          <w:b w:val="0"/>
        </w:rPr>
      </w:pPr>
      <w:r w:rsidRPr="00E4115B">
        <w:rPr>
          <w:rStyle w:val="Balk3Char"/>
        </w:rPr>
        <w:t>VGP’nin işleme açık olduğu iş günlerinde seans sonrası; 16:00’da başlayıp 16:45’te</w:t>
      </w:r>
      <w:r w:rsidRPr="00E4115B">
        <w:t xml:space="preserve"> </w:t>
      </w:r>
      <w:r w:rsidRPr="00E4115B">
        <w:rPr>
          <w:b w:val="0"/>
        </w:rPr>
        <w:t>sona erer.</w:t>
      </w:r>
    </w:p>
    <w:p w14:paraId="597D93A3"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a. Seans sonrasında; tüm kontratlar ilgili gün için işleme kapatılır.</w:t>
      </w:r>
    </w:p>
    <w:p w14:paraId="4195AA02"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b. Seans öncesi dönemine kadar yeni teklif girişlerine ve mevcut tekliflerin güncellenmesine izin verilmez.</w:t>
      </w:r>
    </w:p>
    <w:p w14:paraId="25A7E7BE"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 Eşleşmemiş teklifler askıya alınır.</w:t>
      </w:r>
    </w:p>
    <w:p w14:paraId="357235C5"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ç</w:t>
      </w:r>
      <w:r w:rsidR="00955944" w:rsidRPr="00E4115B">
        <w:rPr>
          <w:rFonts w:ascii="Times New Roman" w:hAnsi="Times New Roman" w:cs="Times New Roman"/>
          <w:sz w:val="24"/>
          <w:szCs w:val="24"/>
        </w:rPr>
        <w:t>. Piyasa katılımcıları, geçmiş seanslarda gerçekleşen eşleşmelerini, verdiği teklifleri, geçmiş seansların işlem akışlarını ve gerçekleştirilen basamaklandırma işlemlerini kontrol edebilir.</w:t>
      </w:r>
    </w:p>
    <w:p w14:paraId="7985A6EC" w14:textId="77777777" w:rsidR="00955944" w:rsidRPr="00E4115B" w:rsidRDefault="00955944" w:rsidP="009E4AAC">
      <w:pPr>
        <w:pStyle w:val="Balk3"/>
        <w:ind w:left="0" w:hanging="11"/>
      </w:pPr>
      <w:r w:rsidRPr="00E4115B">
        <w:rPr>
          <w:rStyle w:val="Balk3Char"/>
        </w:rPr>
        <w:t>Her bir işlem gününde bu Usul ve Esaslarda belirtilen usullerle günlük gösterge fiyatı</w:t>
      </w:r>
      <w:r w:rsidRPr="00E4115B">
        <w:t xml:space="preserve"> </w:t>
      </w:r>
      <w:r w:rsidRPr="00E4115B">
        <w:rPr>
          <w:b w:val="0"/>
        </w:rPr>
        <w:t>hesaplanır.</w:t>
      </w:r>
    </w:p>
    <w:p w14:paraId="17619C34" w14:textId="77777777" w:rsidR="00955944" w:rsidRPr="00E4115B" w:rsidRDefault="00955944" w:rsidP="009E4AAC">
      <w:pPr>
        <w:pStyle w:val="Balk3"/>
        <w:ind w:left="0" w:hanging="11"/>
        <w:rPr>
          <w:b w:val="0"/>
        </w:rPr>
      </w:pPr>
      <w:r w:rsidRPr="00E4115B">
        <w:rPr>
          <w:rStyle w:val="Balk3Char"/>
        </w:rPr>
        <w:t>Her bir kontrat için hesaplanan günlük gösterge fiyatı ilan edilmeden önce, ilgili</w:t>
      </w:r>
      <w:r w:rsidRPr="00E4115B">
        <w:rPr>
          <w:b w:val="0"/>
        </w:rPr>
        <w:t xml:space="preserve"> kontratların ilişkili olduğu diğer kontratların günlük gösterge fiyatları göz önünde bulundurularak, piyasa işletmecisi tarafından madde 10.3 kapsamında günlük gösterge fiyatları arasında farklılıkların giderilmesine ilişkin işlemler yapılır.</w:t>
      </w:r>
    </w:p>
    <w:p w14:paraId="16B24318" w14:textId="77777777" w:rsidR="00955944" w:rsidRPr="00E4115B" w:rsidRDefault="00955944" w:rsidP="009E4AAC">
      <w:pPr>
        <w:pStyle w:val="Balk2"/>
      </w:pPr>
      <w:bookmarkStart w:id="35" w:name="_Toc64755929"/>
      <w:r w:rsidRPr="00E4115B">
        <w:t>Günlük Gösterge Fiyatının İlan Süreci</w:t>
      </w:r>
      <w:bookmarkEnd w:id="35"/>
    </w:p>
    <w:p w14:paraId="4FC4BF24" w14:textId="77777777" w:rsidR="00955944" w:rsidRPr="00E4115B" w:rsidRDefault="00955944" w:rsidP="009E4AAC">
      <w:pPr>
        <w:pStyle w:val="Balk3"/>
        <w:ind w:left="0" w:hanging="11"/>
        <w:rPr>
          <w:b w:val="0"/>
        </w:rPr>
      </w:pPr>
      <w:r w:rsidRPr="00E4115B">
        <w:rPr>
          <w:b w:val="0"/>
        </w:rPr>
        <w:t>Her bir işlem günü seans sonrasının bitişiyle madde 7.4.3’teki işlemlerin yapılmasını müteakip günlük gösterge fiyatı ilan edilir.</w:t>
      </w:r>
    </w:p>
    <w:p w14:paraId="49E5B699" w14:textId="77777777" w:rsidR="00955944" w:rsidRPr="00E4115B" w:rsidRDefault="009E4AAC" w:rsidP="009E4AAC">
      <w:pPr>
        <w:pStyle w:val="Balk2"/>
      </w:pPr>
      <w:bookmarkStart w:id="36" w:name="_Toc64755930"/>
      <w:r w:rsidRPr="00E4115B">
        <w:t>G</w:t>
      </w:r>
      <w:r w:rsidR="00955944" w:rsidRPr="00E4115B">
        <w:t>ün Sonu İşlemleri</w:t>
      </w:r>
      <w:bookmarkEnd w:id="36"/>
    </w:p>
    <w:p w14:paraId="0C9AE25A" w14:textId="77777777" w:rsidR="00955944" w:rsidRPr="00E4115B" w:rsidRDefault="00955944" w:rsidP="009E4AAC">
      <w:pPr>
        <w:pStyle w:val="Balk3"/>
        <w:ind w:left="0" w:hanging="11"/>
        <w:rPr>
          <w:b w:val="0"/>
        </w:rPr>
      </w:pPr>
      <w:r w:rsidRPr="00E4115B">
        <w:rPr>
          <w:b w:val="0"/>
        </w:rPr>
        <w:t>Günlük gösterge fiyatı ilanını müteakip saat 17:00’a kadar piyasa işletmecisi tarafından aşağıdaki gün sonu işlemleri gerçekleştirilir:</w:t>
      </w:r>
    </w:p>
    <w:p w14:paraId="2CEA5736"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a.  Mevcut aktif tekliflerden fiyat değişim limitleri dışında olanlar iptal edilir. </w:t>
      </w:r>
    </w:p>
    <w:p w14:paraId="35207528"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b.  Yıllık veya çeyreklik kontratların son işlem günü ise gün sonunda basamaklandırma işlemi yapılır.</w:t>
      </w:r>
    </w:p>
    <w:p w14:paraId="393B3E66"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c.  Her bir piyasa katılımcısının sunması gereken teminat gereksinimi hesaplanarak merkezi uzlaştırma kuruluşuna bildirilir.</w:t>
      </w:r>
    </w:p>
    <w:p w14:paraId="30D591BE" w14:textId="77777777" w:rsidR="00955944"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955944" w:rsidRPr="00E4115B">
        <w:rPr>
          <w:rFonts w:ascii="Times New Roman" w:hAnsi="Times New Roman" w:cs="Times New Roman"/>
          <w:sz w:val="24"/>
          <w:szCs w:val="24"/>
        </w:rPr>
        <w:t>.  Son işlem günü gelmiş olan kontratlar işleme kapatılır.</w:t>
      </w:r>
    </w:p>
    <w:p w14:paraId="0C44F2D4" w14:textId="77777777" w:rsidR="00717F8B" w:rsidRPr="00E4115B" w:rsidRDefault="009E4AAC"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955944" w:rsidRPr="00E4115B">
        <w:rPr>
          <w:rFonts w:ascii="Times New Roman" w:hAnsi="Times New Roman" w:cs="Times New Roman"/>
          <w:sz w:val="24"/>
          <w:szCs w:val="24"/>
        </w:rPr>
        <w:t>.  İşleme kapatılan kontratların yerine açılacak yeni kontratlar ilan edilir.</w:t>
      </w:r>
    </w:p>
    <w:p w14:paraId="4C246976" w14:textId="77777777" w:rsidR="007E6742" w:rsidRPr="00E4115B" w:rsidRDefault="007E6742" w:rsidP="00C63473">
      <w:pPr>
        <w:jc w:val="both"/>
        <w:rPr>
          <w:rFonts w:ascii="Times New Roman" w:hAnsi="Times New Roman" w:cs="Times New Roman"/>
          <w:sz w:val="24"/>
          <w:szCs w:val="24"/>
        </w:rPr>
      </w:pPr>
    </w:p>
    <w:p w14:paraId="2BEEA16B" w14:textId="77777777" w:rsidR="007E6742" w:rsidRPr="00E4115B" w:rsidRDefault="007E6742" w:rsidP="004A35D9">
      <w:pPr>
        <w:pStyle w:val="Balk1"/>
      </w:pPr>
      <w:bookmarkStart w:id="37" w:name="_Toc64755931"/>
      <w:r w:rsidRPr="00E4115B">
        <w:t>TEKLİFLER</w:t>
      </w:r>
      <w:bookmarkEnd w:id="37"/>
    </w:p>
    <w:p w14:paraId="7CB35FA2" w14:textId="77777777" w:rsidR="007E6742" w:rsidRPr="00E4115B" w:rsidRDefault="007E6742" w:rsidP="00486B7B">
      <w:pPr>
        <w:pStyle w:val="Balk2"/>
      </w:pPr>
      <w:bookmarkStart w:id="38" w:name="_Toc64755932"/>
      <w:bookmarkStart w:id="39" w:name="_Toc64755933"/>
      <w:bookmarkEnd w:id="38"/>
      <w:r w:rsidRPr="00E4115B">
        <w:t>Tekliflerin Genel Kuralları</w:t>
      </w:r>
      <w:bookmarkEnd w:id="39"/>
    </w:p>
    <w:p w14:paraId="0868BAEC" w14:textId="77777777" w:rsidR="007E6742" w:rsidRPr="00E4115B" w:rsidRDefault="007E6742" w:rsidP="00486B7B">
      <w:pPr>
        <w:pStyle w:val="Balk3"/>
        <w:ind w:left="0" w:hanging="11"/>
        <w:rPr>
          <w:b w:val="0"/>
        </w:rPr>
      </w:pPr>
      <w:r w:rsidRPr="00E4115B">
        <w:rPr>
          <w:b w:val="0"/>
        </w:rPr>
        <w:t>Piyasa katılımcıları, VGP’de teslimat dönemi bazında teklifler sunabilirler.</w:t>
      </w:r>
    </w:p>
    <w:p w14:paraId="34D7A6F5" w14:textId="77777777" w:rsidR="007E6742" w:rsidRPr="00E4115B" w:rsidRDefault="007E6742" w:rsidP="00486B7B">
      <w:pPr>
        <w:pStyle w:val="Balk3"/>
        <w:ind w:left="0" w:hanging="11"/>
        <w:rPr>
          <w:b w:val="0"/>
        </w:rPr>
      </w:pPr>
      <w:r w:rsidRPr="00E4115B">
        <w:rPr>
          <w:b w:val="0"/>
        </w:rPr>
        <w:t>Tekliflerde belirtilen fiyat ve miktar, ilgili kontratın teslimat dönemi içerisindeki her bir gaz günü için geçerlidir.</w:t>
      </w:r>
    </w:p>
    <w:p w14:paraId="502CD9D2" w14:textId="77777777" w:rsidR="007E6742" w:rsidRPr="00E4115B" w:rsidRDefault="007E6742" w:rsidP="00486B7B">
      <w:pPr>
        <w:pStyle w:val="Balk3"/>
        <w:ind w:left="0" w:hanging="11"/>
        <w:rPr>
          <w:b w:val="0"/>
        </w:rPr>
      </w:pPr>
      <w:r w:rsidRPr="00E4115B">
        <w:rPr>
          <w:b w:val="0"/>
        </w:rPr>
        <w:t>VGP’de verilen tekliflerde fiyatlar, 0,01 TL ve katları olup birimi TL/1000 Sm</w:t>
      </w:r>
      <w:r w:rsidRPr="00E4115B">
        <w:rPr>
          <w:b w:val="0"/>
          <w:vertAlign w:val="superscript"/>
        </w:rPr>
        <w:t>3</w:t>
      </w:r>
      <w:r w:rsidRPr="00E4115B">
        <w:rPr>
          <w:b w:val="0"/>
        </w:rPr>
        <w:t>’tür.</w:t>
      </w:r>
    </w:p>
    <w:p w14:paraId="63AD3ECE" w14:textId="77777777" w:rsidR="007E6742" w:rsidRPr="00E4115B" w:rsidRDefault="007E6742" w:rsidP="00486B7B">
      <w:pPr>
        <w:pStyle w:val="Balk3"/>
        <w:ind w:left="0" w:hanging="11"/>
        <w:rPr>
          <w:b w:val="0"/>
        </w:rPr>
      </w:pPr>
      <w:r w:rsidRPr="00E4115B">
        <w:rPr>
          <w:b w:val="0"/>
        </w:rPr>
        <w:t>Teklif miktarları Sm</w:t>
      </w:r>
      <w:r w:rsidRPr="00E4115B">
        <w:rPr>
          <w:b w:val="0"/>
          <w:vertAlign w:val="superscript"/>
        </w:rPr>
        <w:t>3</w:t>
      </w:r>
      <w:r w:rsidRPr="00E4115B">
        <w:rPr>
          <w:b w:val="0"/>
        </w:rPr>
        <w:t xml:space="preserve"> cinsinden minimum 1.000 Sm</w:t>
      </w:r>
      <w:r w:rsidRPr="00E4115B">
        <w:rPr>
          <w:b w:val="0"/>
          <w:vertAlign w:val="superscript"/>
        </w:rPr>
        <w:t>3</w:t>
      </w:r>
      <w:r w:rsidRPr="00E4115B">
        <w:rPr>
          <w:b w:val="0"/>
        </w:rPr>
        <w:t xml:space="preserve"> ve tam sayı katları olacak şekilde bildirilir. </w:t>
      </w:r>
    </w:p>
    <w:p w14:paraId="084F45CC" w14:textId="77777777" w:rsidR="007E6742" w:rsidRPr="00E4115B" w:rsidRDefault="007E6742" w:rsidP="00486B7B">
      <w:pPr>
        <w:pStyle w:val="Balk3"/>
        <w:ind w:left="0" w:hanging="11"/>
        <w:rPr>
          <w:b w:val="0"/>
        </w:rPr>
      </w:pPr>
      <w:r w:rsidRPr="00E4115B">
        <w:rPr>
          <w:b w:val="0"/>
        </w:rPr>
        <w:t>VGP’de her bir kontrat için STP aracılığıyla sunulabilecek azami teklif büyüklüğü 10.000.000 Sm</w:t>
      </w:r>
      <w:r w:rsidRPr="00E4115B">
        <w:rPr>
          <w:b w:val="0"/>
          <w:vertAlign w:val="superscript"/>
        </w:rPr>
        <w:t>3</w:t>
      </w:r>
      <w:r w:rsidRPr="00E4115B">
        <w:rPr>
          <w:b w:val="0"/>
        </w:rPr>
        <w:t>’tür.</w:t>
      </w:r>
    </w:p>
    <w:p w14:paraId="6435583B" w14:textId="77777777" w:rsidR="007E6742" w:rsidRPr="00E4115B" w:rsidRDefault="007E6742" w:rsidP="00486B7B">
      <w:pPr>
        <w:pStyle w:val="Balk3"/>
        <w:ind w:left="0" w:hanging="11"/>
        <w:rPr>
          <w:b w:val="0"/>
        </w:rPr>
      </w:pPr>
      <w:r w:rsidRPr="00E4115B">
        <w:rPr>
          <w:b w:val="0"/>
        </w:rPr>
        <w:t>VGP’de bir seans içerisinde her bir piyasa katılımcısı tarafından dakikada en fazla 120 adet teklif sunulabilir.</w:t>
      </w:r>
    </w:p>
    <w:p w14:paraId="6D86C751" w14:textId="77777777" w:rsidR="007E6742" w:rsidRPr="00E4115B" w:rsidRDefault="007E6742" w:rsidP="00486B7B">
      <w:pPr>
        <w:pStyle w:val="Balk3"/>
        <w:ind w:left="0" w:hanging="11"/>
        <w:rPr>
          <w:b w:val="0"/>
        </w:rPr>
      </w:pPr>
      <w:r w:rsidRPr="00E4115B">
        <w:rPr>
          <w:b w:val="0"/>
        </w:rPr>
        <w:lastRenderedPageBreak/>
        <w:t>En iyi fiyat, satış tekliflerinde en düşük fiyatı, alış tekliflerinde ise en yüksek fiyatı ifade eder.</w:t>
      </w:r>
    </w:p>
    <w:p w14:paraId="6699603D" w14:textId="77777777" w:rsidR="007E6742" w:rsidRPr="00E4115B" w:rsidRDefault="007E6742" w:rsidP="00486B7B">
      <w:pPr>
        <w:pStyle w:val="Balk3"/>
        <w:ind w:left="0" w:hanging="11"/>
        <w:rPr>
          <w:b w:val="0"/>
        </w:rPr>
      </w:pPr>
      <w:r w:rsidRPr="00E4115B">
        <w:rPr>
          <w:b w:val="0"/>
        </w:rPr>
        <w:t>Alış teklifindeki fiyat, piyasa katılımcısının teklifte belirttiği miktarı aşmayacak miktardaki doğal gazı satın almak için teklif ettiği maksimum fiyattır.</w:t>
      </w:r>
    </w:p>
    <w:p w14:paraId="250E0111" w14:textId="77777777" w:rsidR="007E6742" w:rsidRPr="00E4115B" w:rsidRDefault="007E6742" w:rsidP="00486B7B">
      <w:pPr>
        <w:pStyle w:val="Balk3"/>
        <w:ind w:left="0" w:hanging="11"/>
        <w:rPr>
          <w:b w:val="0"/>
        </w:rPr>
      </w:pPr>
      <w:r w:rsidRPr="00E4115B">
        <w:rPr>
          <w:b w:val="0"/>
        </w:rPr>
        <w:t>Satış teklifindeki fiyat, piyasa katılımcısının teklifte belirttiği miktarı aşmayacak miktardaki doğal gazı satmak için teklif ettiği minimum fiyattır.</w:t>
      </w:r>
    </w:p>
    <w:p w14:paraId="254BBB26" w14:textId="77777777" w:rsidR="007E6742" w:rsidRPr="00E4115B" w:rsidRDefault="007E6742" w:rsidP="00486B7B">
      <w:pPr>
        <w:pStyle w:val="Balk3"/>
        <w:ind w:left="0" w:hanging="11"/>
        <w:rPr>
          <w:b w:val="0"/>
        </w:rPr>
      </w:pPr>
      <w:r w:rsidRPr="00E4115B">
        <w:rPr>
          <w:b w:val="0"/>
        </w:rPr>
        <w:t>Teklifler, eşleşmediği sürece ilgili piyasa katılımcısı tarafından güncellenebilir veya iptal edilebilir. Zaman bilgisi dikkate alınarak teklife ilişkin yapılan son güncelleme esas alınır. Var olan tekliflerin miktarlarının azaltılması durumu güncelleme olarak kabul edilmez ve teklifin giriş zaman kaydı değiştirilmez.</w:t>
      </w:r>
    </w:p>
    <w:p w14:paraId="65576FB4" w14:textId="77777777" w:rsidR="007E6742" w:rsidRPr="00E4115B" w:rsidRDefault="007E6742" w:rsidP="00486B7B">
      <w:pPr>
        <w:pStyle w:val="Balk2"/>
      </w:pPr>
      <w:bookmarkStart w:id="40" w:name="_Toc64755934"/>
      <w:r w:rsidRPr="00E4115B">
        <w:t>Tekliflerde Bulunması Zorunlu Hususlar</w:t>
      </w:r>
      <w:bookmarkEnd w:id="40"/>
    </w:p>
    <w:p w14:paraId="6665307E" w14:textId="77777777" w:rsidR="007E6742" w:rsidRPr="00E4115B" w:rsidRDefault="007E6742" w:rsidP="00486B7B">
      <w:pPr>
        <w:pStyle w:val="Balk3"/>
        <w:rPr>
          <w:b w:val="0"/>
        </w:rPr>
      </w:pPr>
      <w:r w:rsidRPr="00E4115B">
        <w:rPr>
          <w:b w:val="0"/>
        </w:rPr>
        <w:t>VGP’de kontratlara sunulan teklifler aşağıdaki bilgileri içerir:</w:t>
      </w:r>
    </w:p>
    <w:p w14:paraId="53024563"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a. Piyasa katılımcısının adı. </w:t>
      </w:r>
    </w:p>
    <w:p w14:paraId="192CCB39"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b. Teklifin geçerli olduğu teslimat dönemi.</w:t>
      </w:r>
    </w:p>
    <w:p w14:paraId="667CFE88"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c. Teklif tipi. </w:t>
      </w:r>
    </w:p>
    <w:p w14:paraId="643D836B" w14:textId="77777777" w:rsidR="007E6742" w:rsidRPr="00E4115B" w:rsidRDefault="00486B7B"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7E6742" w:rsidRPr="00E4115B">
        <w:rPr>
          <w:rFonts w:ascii="Times New Roman" w:hAnsi="Times New Roman" w:cs="Times New Roman"/>
          <w:sz w:val="24"/>
          <w:szCs w:val="24"/>
        </w:rPr>
        <w:t xml:space="preserve">. Teklifin yönü (alış veya satış). </w:t>
      </w:r>
    </w:p>
    <w:p w14:paraId="26E77BCF" w14:textId="77777777" w:rsidR="007E6742" w:rsidRPr="00E4115B" w:rsidRDefault="00486B7B"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7E6742" w:rsidRPr="00E4115B">
        <w:rPr>
          <w:rFonts w:ascii="Times New Roman" w:hAnsi="Times New Roman" w:cs="Times New Roman"/>
          <w:sz w:val="24"/>
          <w:szCs w:val="24"/>
        </w:rPr>
        <w:t xml:space="preserve">. Fiyat ve miktar bilgisi. </w:t>
      </w:r>
    </w:p>
    <w:p w14:paraId="1985892C" w14:textId="77777777" w:rsidR="007E6742" w:rsidRPr="00E4115B" w:rsidRDefault="00486B7B" w:rsidP="00C63473">
      <w:pPr>
        <w:jc w:val="both"/>
        <w:rPr>
          <w:rFonts w:ascii="Times New Roman" w:hAnsi="Times New Roman" w:cs="Times New Roman"/>
          <w:sz w:val="24"/>
          <w:szCs w:val="24"/>
        </w:rPr>
      </w:pPr>
      <w:r w:rsidRPr="00E4115B">
        <w:rPr>
          <w:rFonts w:ascii="Times New Roman" w:hAnsi="Times New Roman" w:cs="Times New Roman"/>
          <w:sz w:val="24"/>
          <w:szCs w:val="24"/>
        </w:rPr>
        <w:t>e</w:t>
      </w:r>
      <w:r w:rsidR="007E6742" w:rsidRPr="00E4115B">
        <w:rPr>
          <w:rFonts w:ascii="Times New Roman" w:hAnsi="Times New Roman" w:cs="Times New Roman"/>
          <w:sz w:val="24"/>
          <w:szCs w:val="24"/>
        </w:rPr>
        <w:t xml:space="preserve">. Teklifin geçerlilik süresi. </w:t>
      </w:r>
    </w:p>
    <w:p w14:paraId="32EC0FB6" w14:textId="77777777" w:rsidR="007E6742" w:rsidRPr="00E4115B" w:rsidRDefault="00486B7B" w:rsidP="00C63473">
      <w:pPr>
        <w:jc w:val="both"/>
        <w:rPr>
          <w:rFonts w:ascii="Times New Roman" w:hAnsi="Times New Roman" w:cs="Times New Roman"/>
          <w:sz w:val="24"/>
          <w:szCs w:val="24"/>
        </w:rPr>
      </w:pPr>
      <w:r w:rsidRPr="00E4115B">
        <w:rPr>
          <w:rFonts w:ascii="Times New Roman" w:hAnsi="Times New Roman" w:cs="Times New Roman"/>
          <w:sz w:val="24"/>
          <w:szCs w:val="24"/>
        </w:rPr>
        <w:t>f</w:t>
      </w:r>
      <w:r w:rsidR="007E6742" w:rsidRPr="00E4115B">
        <w:rPr>
          <w:rFonts w:ascii="Times New Roman" w:hAnsi="Times New Roman" w:cs="Times New Roman"/>
          <w:sz w:val="24"/>
          <w:szCs w:val="24"/>
        </w:rPr>
        <w:t>. Teklifin durumu (Aktif veya Pasif).</w:t>
      </w:r>
    </w:p>
    <w:p w14:paraId="252391D6" w14:textId="77777777" w:rsidR="007E6742" w:rsidRPr="00E4115B" w:rsidRDefault="00486B7B" w:rsidP="00C63473">
      <w:pPr>
        <w:jc w:val="both"/>
        <w:rPr>
          <w:rFonts w:ascii="Times New Roman" w:hAnsi="Times New Roman" w:cs="Times New Roman"/>
          <w:sz w:val="24"/>
          <w:szCs w:val="24"/>
        </w:rPr>
      </w:pPr>
      <w:r w:rsidRPr="00E4115B">
        <w:rPr>
          <w:rFonts w:ascii="Times New Roman" w:hAnsi="Times New Roman" w:cs="Times New Roman"/>
          <w:sz w:val="24"/>
          <w:szCs w:val="24"/>
        </w:rPr>
        <w:t>g</w:t>
      </w:r>
      <w:r w:rsidR="007E6742" w:rsidRPr="00E4115B">
        <w:rPr>
          <w:rFonts w:ascii="Times New Roman" w:hAnsi="Times New Roman" w:cs="Times New Roman"/>
          <w:sz w:val="24"/>
          <w:szCs w:val="24"/>
        </w:rPr>
        <w:t>. Piyasa işletmecisi tarafından istenecek ve STP aracılığı ile piyasa katılımcılarına duyurulacak diğer bilgiler.</w:t>
      </w:r>
    </w:p>
    <w:p w14:paraId="609E749D" w14:textId="77777777" w:rsidR="007E6742" w:rsidRPr="00E4115B" w:rsidRDefault="007E6742" w:rsidP="00486B7B">
      <w:pPr>
        <w:pStyle w:val="Balk2"/>
      </w:pPr>
      <w:bookmarkStart w:id="41" w:name="_Toc59547258"/>
      <w:r w:rsidRPr="00E4115B">
        <w:t xml:space="preserve"> </w:t>
      </w:r>
      <w:bookmarkStart w:id="42" w:name="_Toc64755935"/>
      <w:r w:rsidRPr="00E4115B">
        <w:t>Tekliflerin Bildirimi</w:t>
      </w:r>
      <w:bookmarkEnd w:id="41"/>
      <w:bookmarkEnd w:id="42"/>
    </w:p>
    <w:p w14:paraId="39EC9BE1" w14:textId="77777777" w:rsidR="007E6742" w:rsidRPr="00E4115B" w:rsidRDefault="007E6742" w:rsidP="00486B7B">
      <w:pPr>
        <w:pStyle w:val="Balk3"/>
        <w:ind w:left="0" w:hanging="11"/>
        <w:rPr>
          <w:b w:val="0"/>
        </w:rPr>
      </w:pPr>
      <w:r w:rsidRPr="00E4115B">
        <w:rPr>
          <w:b w:val="0"/>
        </w:rPr>
        <w:t>Piyasa katılımcıları, herhangi bir kontrata ilişkin tekliflerini, seans içinde ilgili kontratın kapı kapanış zamanına kadar STP aracılığıyla piyasa işletmecisine bildirir.</w:t>
      </w:r>
    </w:p>
    <w:p w14:paraId="4524CF58" w14:textId="77777777" w:rsidR="007E6742" w:rsidRPr="00E4115B" w:rsidRDefault="007E6742" w:rsidP="00486B7B">
      <w:pPr>
        <w:pStyle w:val="Balk3"/>
        <w:ind w:left="0" w:hanging="11"/>
        <w:rPr>
          <w:b w:val="0"/>
        </w:rPr>
      </w:pPr>
      <w:r w:rsidRPr="00E4115B">
        <w:rPr>
          <w:b w:val="0"/>
        </w:rPr>
        <w:t>Tekliflerin kaydının yapılabilmesi için;</w:t>
      </w:r>
    </w:p>
    <w:p w14:paraId="30333D2F"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 xml:space="preserve">a. Teklif fiyatının, günlük fiyat değişim limitleri içerisinde kalması, </w:t>
      </w:r>
    </w:p>
    <w:p w14:paraId="38BF023A"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b. Teklif miktarının, azami teklif büyüklüğünü aşmamış olması,</w:t>
      </w:r>
    </w:p>
    <w:p w14:paraId="12C52FDC"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 xml:space="preserve">c. İlgili teklif için hesaplanacak toplam VGP teminatının sunulmuş olması, </w:t>
      </w:r>
    </w:p>
    <w:p w14:paraId="31C9B4A8" w14:textId="77777777" w:rsidR="007E6742" w:rsidRPr="00E4115B" w:rsidRDefault="00486B7B"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ç</w:t>
      </w:r>
      <w:r w:rsidR="007E6742" w:rsidRPr="00E4115B">
        <w:rPr>
          <w:rFonts w:ascii="Times New Roman" w:hAnsi="Times New Roman" w:cs="Times New Roman"/>
          <w:sz w:val="24"/>
          <w:szCs w:val="24"/>
        </w:rPr>
        <w:t xml:space="preserve">. Net pozisyon arttırıcı tekliflerde piyasa katılımcısı bazında pozisyon limitlerinin aşılmamış olması </w:t>
      </w:r>
    </w:p>
    <w:p w14:paraId="2224718B"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 xml:space="preserve">kontrol edilir ve bu şartları sağlayan teklifler kaydedilir. </w:t>
      </w:r>
    </w:p>
    <w:p w14:paraId="6B24932C" w14:textId="77777777" w:rsidR="007E6742" w:rsidRPr="00E4115B" w:rsidRDefault="007E6742" w:rsidP="00486B7B">
      <w:pPr>
        <w:pStyle w:val="Balk3"/>
        <w:ind w:left="0" w:hanging="11"/>
        <w:rPr>
          <w:b w:val="0"/>
        </w:rPr>
      </w:pPr>
      <w:r w:rsidRPr="00E4115B">
        <w:rPr>
          <w:b w:val="0"/>
        </w:rPr>
        <w:t xml:space="preserve">Tekliflerin bildirimi, teklife bir kayıt numarası verilmesi ve tekliflerin STP’ye en az milisaniye hassasiyetinde kaydedilmesi ile gerçekleştirilir. </w:t>
      </w:r>
    </w:p>
    <w:p w14:paraId="752EE93B" w14:textId="77777777" w:rsidR="007E6742" w:rsidRPr="00E4115B" w:rsidRDefault="007E6742" w:rsidP="00486B7B">
      <w:pPr>
        <w:pStyle w:val="Balk3"/>
        <w:ind w:left="0" w:hanging="11"/>
        <w:rPr>
          <w:b w:val="0"/>
        </w:rPr>
      </w:pPr>
      <w:r w:rsidRPr="00E4115B">
        <w:rPr>
          <w:b w:val="0"/>
        </w:rPr>
        <w:lastRenderedPageBreak/>
        <w:t>STP’ye kaydı tamamlanan teklifler, piyasa katılımcıları tarafından STP aracılığıyla görülebilir.</w:t>
      </w:r>
    </w:p>
    <w:p w14:paraId="23B66C27" w14:textId="77777777" w:rsidR="007E6742" w:rsidRPr="00E4115B" w:rsidRDefault="007E6742" w:rsidP="00486B7B">
      <w:pPr>
        <w:pStyle w:val="Balk3"/>
        <w:ind w:left="0" w:hanging="11"/>
        <w:rPr>
          <w:b w:val="0"/>
        </w:rPr>
      </w:pPr>
      <w:r w:rsidRPr="00E4115B">
        <w:rPr>
          <w:b w:val="0"/>
        </w:rPr>
        <w:t>STP’ye kaydı tamamlanan geçerlilik süresi sona ermemiş bir teklif; eşleşmediği, iptal edilmediği, askıya alınmadığı ve günlük fiyat değişim limitleri içerisinde olduğu takdirde ilgili kontratın işleme açık olduğu süre boyunca aktiftir.</w:t>
      </w:r>
      <w:r w:rsidRPr="00E4115B" w:rsidDel="00EC5A91">
        <w:rPr>
          <w:b w:val="0"/>
        </w:rPr>
        <w:t xml:space="preserve"> </w:t>
      </w:r>
    </w:p>
    <w:p w14:paraId="285FE76A" w14:textId="5F0BDAD7" w:rsidR="007E6742" w:rsidRPr="00E4115B" w:rsidRDefault="007E6742" w:rsidP="00486B7B">
      <w:pPr>
        <w:pStyle w:val="Balk3"/>
        <w:ind w:left="0" w:hanging="11"/>
        <w:rPr>
          <w:b w:val="0"/>
        </w:rPr>
      </w:pPr>
      <w:r w:rsidRPr="00E4115B">
        <w:rPr>
          <w:b w:val="0"/>
        </w:rPr>
        <w:t xml:space="preserve">Tekliflerin bildirimi ve teklif defterinde beklemesi ile ilgili süreçler, piyasa katılımcılarına </w:t>
      </w:r>
      <w:r w:rsidR="00017BF3" w:rsidRPr="00681BF6">
        <w:rPr>
          <w:b w:val="0"/>
        </w:rPr>
        <w:t>PUE’nin 11.1 maddesinde belirtilen olağandışı durumların ortaya ç</w:t>
      </w:r>
      <w:r w:rsidR="00681BF6">
        <w:rPr>
          <w:b w:val="0"/>
        </w:rPr>
        <w:t xml:space="preserve">ıkması durumu hariç olmak üzere, </w:t>
      </w:r>
      <w:r w:rsidRPr="00E4115B">
        <w:rPr>
          <w:b w:val="0"/>
        </w:rPr>
        <w:t>en az 2 iş günü öncesinden bildirilmek şartıyla piyasa işletmecisi tarafından değiştirilebilir.</w:t>
      </w:r>
    </w:p>
    <w:p w14:paraId="023D9FC8" w14:textId="77777777" w:rsidR="007E6742" w:rsidRPr="00E4115B" w:rsidRDefault="007E6742" w:rsidP="00486B7B">
      <w:pPr>
        <w:pStyle w:val="Balk2"/>
      </w:pPr>
      <w:bookmarkStart w:id="43" w:name="_Toc59547259"/>
      <w:bookmarkStart w:id="44" w:name="_Toc64755936"/>
      <w:r w:rsidRPr="00E4115B">
        <w:t>Teklif Tipleri</w:t>
      </w:r>
      <w:bookmarkEnd w:id="43"/>
      <w:bookmarkEnd w:id="44"/>
    </w:p>
    <w:p w14:paraId="11278012" w14:textId="77777777" w:rsidR="007E6742" w:rsidRPr="00E4115B" w:rsidRDefault="007E6742" w:rsidP="00486B7B">
      <w:pPr>
        <w:pStyle w:val="Balk3"/>
        <w:rPr>
          <w:b w:val="0"/>
        </w:rPr>
      </w:pPr>
      <w:r w:rsidRPr="00E4115B">
        <w:rPr>
          <w:b w:val="0"/>
        </w:rPr>
        <w:t>VGP’de teklifler aktif veya pasif olarak verilir.</w:t>
      </w:r>
    </w:p>
    <w:p w14:paraId="3368DFCD"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a. Aktif teklif: Henüz eşleşmemiş, teklif defterinde bekleyen tekliftir. Piyasa katılımcıları tarafından pasif hale getirilebilir veya iptal edilebilir.</w:t>
      </w:r>
    </w:p>
    <w:p w14:paraId="595E7ADC"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 xml:space="preserve">b. Pasif teklif: Pasif olarak kaydedilen ve teklif defterinde yer almayan tekliftir. Pasif teklifler piyasa katılımcıları tarafından aktif hale getirilebilir veya iptal edilebilir. </w:t>
      </w:r>
    </w:p>
    <w:p w14:paraId="189C3D64"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c. İptal edilen teklif tekrar aktif veya pasif hale getirilemez.</w:t>
      </w:r>
    </w:p>
    <w:p w14:paraId="3CEBD548" w14:textId="77777777" w:rsidR="007E6742" w:rsidRPr="00E4115B" w:rsidRDefault="007E6742" w:rsidP="00486B7B">
      <w:pPr>
        <w:pStyle w:val="Balk3"/>
        <w:rPr>
          <w:b w:val="0"/>
        </w:rPr>
      </w:pPr>
      <w:r w:rsidRPr="00E4115B">
        <w:rPr>
          <w:b w:val="0"/>
        </w:rPr>
        <w:t xml:space="preserve">Teklif tipleri aşağıdaki gibi sınıflandırılır; </w:t>
      </w:r>
    </w:p>
    <w:p w14:paraId="3E620E96"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a. Kontrat kapanış zamanına kadar geçerli standart teklif (STD): Teklifler piyasa katılımcısının belirttiği miktar ve fiyat doğrultusunda tamamen ya da kısmi olarak eşleşir. Eşleşmeyen kısım için teklif, kontrat kapanış zamanına kadar geçerliliğini korur.</w:t>
      </w:r>
    </w:p>
    <w:p w14:paraId="52D66BC1"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b. Süresi dolana kadar geçerli teklif (SUR): Piyasa katılımcısının belirlediği süre içerisinde teklifler piyasa katılımcısının belirttiği miktar ve fiyat doğrultusunda tamamen ya da parçalı olarak eşleşir. Eşleşmeyen kısım için teklif, süresi dolana kadar geçerliliğini korur.</w:t>
      </w:r>
    </w:p>
    <w:p w14:paraId="06F0AE19"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c. Olanı eşle ve yok et teklifi (OEYE): Teklifler piyasa katılımcısının belirttiği miktar ve fiyat doğrultusunda teklif defterinde yer almadan, sunulduğu anda uygun olan mevcut tekliflerle eşleşir ve arta kalan miktar yok edilir.</w:t>
      </w:r>
    </w:p>
    <w:p w14:paraId="5A53A689" w14:textId="77777777" w:rsidR="007E6742" w:rsidRPr="00E4115B" w:rsidRDefault="00486B7B"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ç</w:t>
      </w:r>
      <w:r w:rsidR="007E6742" w:rsidRPr="00E4115B">
        <w:rPr>
          <w:rFonts w:ascii="Times New Roman" w:hAnsi="Times New Roman" w:cs="Times New Roman"/>
          <w:sz w:val="24"/>
          <w:szCs w:val="24"/>
        </w:rPr>
        <w:t>. Tamamını eşle veya yok et teklifi (TEYE): Teklifler piyasa katılımcısının belirttiği miktar ve fiyat doğrultusunda teklif defterinde yer almadan, sunulduğu anda uygun olan mevcut tekliflerle teklif miktarının tamamının karşılanması durumunda eşleşir, karşılanmaması durumunda ise teklif defterine kaydı yapılmadan teklif silinir.</w:t>
      </w:r>
    </w:p>
    <w:p w14:paraId="5628AB1D" w14:textId="77777777" w:rsidR="00486B7B" w:rsidRPr="00E4115B" w:rsidRDefault="00486B7B" w:rsidP="007966DB">
      <w:pPr>
        <w:autoSpaceDE w:val="0"/>
        <w:autoSpaceDN w:val="0"/>
        <w:adjustRightInd w:val="0"/>
        <w:spacing w:after="0" w:line="240" w:lineRule="auto"/>
        <w:jc w:val="both"/>
        <w:rPr>
          <w:rFonts w:ascii="Times New Roman" w:hAnsi="Times New Roman" w:cs="Times New Roman"/>
          <w:sz w:val="24"/>
          <w:szCs w:val="24"/>
        </w:rPr>
      </w:pPr>
    </w:p>
    <w:p w14:paraId="71394D1A" w14:textId="77777777" w:rsidR="00641082" w:rsidRPr="00E4115B" w:rsidRDefault="00641082" w:rsidP="004A35D9">
      <w:pPr>
        <w:pStyle w:val="Balk1"/>
        <w:rPr>
          <w:u w:val="single"/>
        </w:rPr>
      </w:pPr>
      <w:bookmarkStart w:id="45" w:name="_Toc64755937"/>
      <w:r w:rsidRPr="00E4115B">
        <w:t>EŞLEŞMELER</w:t>
      </w:r>
      <w:bookmarkEnd w:id="45"/>
    </w:p>
    <w:p w14:paraId="3E4FC8EB" w14:textId="77777777" w:rsidR="00641082" w:rsidRPr="00E4115B" w:rsidRDefault="00641082" w:rsidP="00486B7B">
      <w:pPr>
        <w:pStyle w:val="Balk2"/>
        <w:rPr>
          <w:color w:val="FF0000"/>
        </w:rPr>
      </w:pPr>
      <w:bookmarkStart w:id="46" w:name="_Toc64755938"/>
      <w:bookmarkStart w:id="47" w:name="_Toc64755939"/>
      <w:bookmarkEnd w:id="46"/>
      <w:r w:rsidRPr="00E4115B">
        <w:t>Tekliflerin Eşleşmesinde Öncelik Kuralları</w:t>
      </w:r>
      <w:bookmarkEnd w:id="47"/>
    </w:p>
    <w:p w14:paraId="15DBBD8F" w14:textId="77777777" w:rsidR="00641082" w:rsidRPr="00E4115B" w:rsidRDefault="00641082" w:rsidP="00486B7B">
      <w:pPr>
        <w:pStyle w:val="Balk3"/>
        <w:ind w:left="0" w:hanging="11"/>
        <w:rPr>
          <w:b w:val="0"/>
        </w:rPr>
      </w:pPr>
      <w:r w:rsidRPr="00E4115B">
        <w:rPr>
          <w:b w:val="0"/>
        </w:rPr>
        <w:t>Piyasa katılımcılarının VGP’de sundukları tekliflerin aktif olarak kaydedilmesini takiben ilgili tekliflerin eşleştirilmesine ilişkin işlemler aşağıda belirtildiği şekilde yürütülür;</w:t>
      </w:r>
    </w:p>
    <w:p w14:paraId="2A03D6CA" w14:textId="77777777" w:rsidR="00641082" w:rsidRPr="00E4115B" w:rsidRDefault="00641082" w:rsidP="00C63473">
      <w:pPr>
        <w:pStyle w:val="NormalWeb"/>
        <w:spacing w:after="240"/>
        <w:jc w:val="both"/>
        <w:rPr>
          <w:iCs/>
        </w:rPr>
      </w:pPr>
      <w:r w:rsidRPr="00E4115B">
        <w:rPr>
          <w:iCs/>
        </w:rPr>
        <w:t>a. Teklifler, her bir kontrat için kendi içlerinde ayrı ayrı değerlendirilir.</w:t>
      </w:r>
    </w:p>
    <w:p w14:paraId="7053D3EE" w14:textId="77777777" w:rsidR="00641082" w:rsidRPr="00E4115B" w:rsidRDefault="00641082" w:rsidP="00C63473">
      <w:pPr>
        <w:pStyle w:val="NormalWeb"/>
        <w:spacing w:after="240"/>
        <w:jc w:val="both"/>
        <w:rPr>
          <w:iCs/>
        </w:rPr>
      </w:pPr>
      <w:r w:rsidRPr="00E4115B">
        <w:rPr>
          <w:iCs/>
        </w:rPr>
        <w:lastRenderedPageBreak/>
        <w:t>b. Teslimat dönemi aynı olan ve aynı yönde (alış ya da satış yönünde) verilen tekliflerden fiyatı iyi olan teklif önceliklidir.</w:t>
      </w:r>
    </w:p>
    <w:p w14:paraId="5AF6356A" w14:textId="77777777" w:rsidR="00641082" w:rsidRPr="00E4115B" w:rsidRDefault="00641082" w:rsidP="00C63473">
      <w:pPr>
        <w:pStyle w:val="NormalWeb"/>
        <w:spacing w:after="240"/>
        <w:jc w:val="both"/>
        <w:rPr>
          <w:iCs/>
        </w:rPr>
      </w:pPr>
      <w:r w:rsidRPr="00E4115B">
        <w:rPr>
          <w:iCs/>
        </w:rPr>
        <w:t xml:space="preserve">c. Teslimat dönemi aynı olan ve aynı yönde (alış ya da satış yönünde) verilen eşit fiyatlı tekliflerden sistem saatine göre ilk önce kaydedilen teklif önceliklidir. </w:t>
      </w:r>
    </w:p>
    <w:p w14:paraId="326C0956" w14:textId="77777777" w:rsidR="00641082" w:rsidRPr="00E4115B" w:rsidRDefault="00486B7B" w:rsidP="00C63473">
      <w:pPr>
        <w:pStyle w:val="NormalWeb"/>
        <w:spacing w:after="240"/>
        <w:jc w:val="both"/>
        <w:rPr>
          <w:iCs/>
        </w:rPr>
      </w:pPr>
      <w:r w:rsidRPr="00E4115B">
        <w:rPr>
          <w:iCs/>
        </w:rPr>
        <w:t>ç</w:t>
      </w:r>
      <w:r w:rsidR="00641082" w:rsidRPr="00E4115B">
        <w:rPr>
          <w:iCs/>
        </w:rPr>
        <w:t>. Alış teklifi için fiyatı en yüksek olan, satış teklifi için fiyatı en düşük olan teklifler teklif defterinde en iyi teklif olarak gösterilirler.</w:t>
      </w:r>
    </w:p>
    <w:p w14:paraId="75AEFC4F" w14:textId="77777777" w:rsidR="00641082" w:rsidRPr="00E4115B" w:rsidRDefault="00486B7B" w:rsidP="00C63473">
      <w:pPr>
        <w:pStyle w:val="NormalWeb"/>
        <w:spacing w:after="240"/>
        <w:jc w:val="both"/>
        <w:rPr>
          <w:iCs/>
        </w:rPr>
      </w:pPr>
      <w:r w:rsidRPr="00E4115B">
        <w:rPr>
          <w:iCs/>
        </w:rPr>
        <w:t>d</w:t>
      </w:r>
      <w:r w:rsidR="00641082" w:rsidRPr="00E4115B">
        <w:rPr>
          <w:iCs/>
        </w:rPr>
        <w:t>. Eşleşmelerde, mevcut teklife karşılık verilen tekliflerin eşleşmesinde eşleşme fiyatı, ilk girilen teklifin fiyatıdır.</w:t>
      </w:r>
    </w:p>
    <w:p w14:paraId="55125B42" w14:textId="77777777" w:rsidR="00641082" w:rsidRPr="00E4115B" w:rsidRDefault="00486B7B" w:rsidP="00C63473">
      <w:pPr>
        <w:pStyle w:val="NormalWeb"/>
        <w:spacing w:after="240"/>
        <w:jc w:val="both"/>
        <w:rPr>
          <w:iCs/>
        </w:rPr>
      </w:pPr>
      <w:r w:rsidRPr="00E4115B">
        <w:rPr>
          <w:iCs/>
        </w:rPr>
        <w:t>e</w:t>
      </w:r>
      <w:r w:rsidR="00641082" w:rsidRPr="00E4115B">
        <w:rPr>
          <w:iCs/>
        </w:rPr>
        <w:t xml:space="preserve">. Tekliflerin eşleşmesi durumunda taraflar için ilgili teklifler, pozisyona dönüşür. Piyasa katılımcısı, alış tekliflerinin eşleşmesi durumunda uzun pozisyon, satış tekliflerinin eşleşmesi durumunda ise kısa pozisyon sahibi olur. </w:t>
      </w:r>
    </w:p>
    <w:p w14:paraId="3C43D6DB" w14:textId="77777777" w:rsidR="00641082" w:rsidRPr="00E4115B" w:rsidRDefault="00641082" w:rsidP="00486B7B">
      <w:pPr>
        <w:pStyle w:val="Balk3"/>
        <w:rPr>
          <w:b w:val="0"/>
        </w:rPr>
      </w:pPr>
      <w:r w:rsidRPr="00E4115B">
        <w:rPr>
          <w:b w:val="0"/>
        </w:rPr>
        <w:t>Piyasa katılımcıları kendi teklifleri ile eşleşebilecek karşı teklif veremez.</w:t>
      </w:r>
    </w:p>
    <w:p w14:paraId="11966E45" w14:textId="77777777" w:rsidR="00641082" w:rsidRPr="00E4115B" w:rsidRDefault="00641082" w:rsidP="00486B7B">
      <w:pPr>
        <w:pStyle w:val="Balk2"/>
      </w:pPr>
      <w:bookmarkStart w:id="48" w:name="_Toc64755940"/>
      <w:r w:rsidRPr="00E4115B">
        <w:t>Alış Tekliflerinde Eşleştirme Kuralları</w:t>
      </w:r>
      <w:bookmarkEnd w:id="48"/>
    </w:p>
    <w:p w14:paraId="53111752" w14:textId="77777777" w:rsidR="00641082" w:rsidRPr="00E4115B" w:rsidRDefault="00641082" w:rsidP="00486B7B">
      <w:pPr>
        <w:pStyle w:val="Balk3"/>
        <w:rPr>
          <w:b w:val="0"/>
        </w:rPr>
      </w:pPr>
      <w:r w:rsidRPr="00E4115B">
        <w:rPr>
          <w:b w:val="0"/>
        </w:rPr>
        <w:t>Teklif bildirim şartlarına uygun olarak alış yönünde verilen tekliflerde;</w:t>
      </w:r>
    </w:p>
    <w:p w14:paraId="51B87EDA"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a. Alış teklif fiyatı en iyi satış teklif fiyatından büyük veya eşitse tekliflerin miktarları karşılaştırılır;</w:t>
      </w:r>
    </w:p>
    <w:p w14:paraId="2DE757C6" w14:textId="77777777" w:rsidR="00641082" w:rsidRPr="00E4115B" w:rsidRDefault="00641082" w:rsidP="00486B7B">
      <w:pPr>
        <w:ind w:firstLine="284"/>
        <w:jc w:val="both"/>
        <w:rPr>
          <w:rFonts w:ascii="Times New Roman" w:hAnsi="Times New Roman" w:cs="Times New Roman"/>
          <w:sz w:val="24"/>
          <w:szCs w:val="24"/>
        </w:rPr>
      </w:pPr>
      <w:r w:rsidRPr="00E4115B">
        <w:rPr>
          <w:rFonts w:ascii="Times New Roman" w:hAnsi="Times New Roman" w:cs="Times New Roman"/>
          <w:sz w:val="24"/>
          <w:szCs w:val="24"/>
        </w:rPr>
        <w:t xml:space="preserve">i. Alış teklif miktarı en iyi satış teklif miktarına eşitse tamamen eşleştirme yapılır. </w:t>
      </w:r>
    </w:p>
    <w:p w14:paraId="1F1F13F5" w14:textId="77777777" w:rsidR="00641082" w:rsidRPr="00E4115B" w:rsidRDefault="00486B7B"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w:t>
      </w:r>
      <w:r w:rsidR="00641082" w:rsidRPr="00E4115B">
        <w:rPr>
          <w:rFonts w:ascii="Times New Roman" w:hAnsi="Times New Roman" w:cs="Times New Roman"/>
          <w:sz w:val="24"/>
          <w:szCs w:val="24"/>
        </w:rPr>
        <w:t>. İşlem, teklif defterine önceden girilmiş olup bekleyen satış teklif fiyatına göre gerçekleştirilir.</w:t>
      </w:r>
    </w:p>
    <w:p w14:paraId="064D6D5B"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2. Durumları “eşleşti” olarak güncellenir ve eşleşen alış-satış teklifleri teklif defterinden çıkarılarak en iyi teklif listeleri güncellenir.</w:t>
      </w:r>
    </w:p>
    <w:p w14:paraId="6368FD3F" w14:textId="77777777" w:rsidR="00641082" w:rsidRPr="00E4115B" w:rsidRDefault="00641082" w:rsidP="00486B7B">
      <w:pPr>
        <w:ind w:firstLine="284"/>
        <w:jc w:val="both"/>
        <w:rPr>
          <w:rFonts w:ascii="Times New Roman" w:hAnsi="Times New Roman" w:cs="Times New Roman"/>
          <w:sz w:val="24"/>
          <w:szCs w:val="24"/>
        </w:rPr>
      </w:pPr>
      <w:r w:rsidRPr="00E4115B">
        <w:rPr>
          <w:rFonts w:ascii="Times New Roman" w:hAnsi="Times New Roman" w:cs="Times New Roman"/>
          <w:sz w:val="24"/>
          <w:szCs w:val="24"/>
        </w:rPr>
        <w:t>ii.  Alış miktarı en iyi satış teklifinin miktarından büyükse kısmi eşleştirme yapılır.</w:t>
      </w:r>
    </w:p>
    <w:p w14:paraId="4DC834C6"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 İşlem, teklif defterine önceden girilmiş olup bekleyen satış teklif fiyatına göre gerçekleştirilir.</w:t>
      </w:r>
    </w:p>
    <w:p w14:paraId="149D766F"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2. Satış miktarı kadar alış gerçekleştirilir. Satış teklifinin durumu “eşleşti”, alış teklifinin durumu “kısmi eşleşti” olarak güncellenir ve eşleşen satış teklifi teklif defterinden çıkarılır.</w:t>
      </w:r>
    </w:p>
    <w:p w14:paraId="77D54661"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3. Kalan alış miktarı için yeni bir eşleştirmeye bakılır, eşleşmemesi durumunda en iyi alış teklifi olarak teklif defterinde beklemeye devam eder. En iyi teklif listeleri yeniden sıralı olarak güncellenir.</w:t>
      </w:r>
    </w:p>
    <w:p w14:paraId="4BF9F112" w14:textId="77777777" w:rsidR="00641082" w:rsidRPr="00E4115B" w:rsidRDefault="00641082" w:rsidP="00486B7B">
      <w:pPr>
        <w:ind w:firstLine="284"/>
        <w:jc w:val="both"/>
        <w:rPr>
          <w:rFonts w:ascii="Times New Roman" w:hAnsi="Times New Roman" w:cs="Times New Roman"/>
          <w:sz w:val="24"/>
          <w:szCs w:val="24"/>
        </w:rPr>
      </w:pPr>
      <w:r w:rsidRPr="00E4115B">
        <w:rPr>
          <w:rFonts w:ascii="Times New Roman" w:hAnsi="Times New Roman" w:cs="Times New Roman"/>
          <w:sz w:val="24"/>
          <w:szCs w:val="24"/>
        </w:rPr>
        <w:t>iii.  Alış miktarı en iyi satış teklifinin miktarından küçükse tamamen eşleştirme yapılır.</w:t>
      </w:r>
    </w:p>
    <w:p w14:paraId="4EA226DD"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  İşlem, teklif defterinde önceden girilmiş olup bekleyen satış teklif fiyatına göre gerçekleştirilir.</w:t>
      </w:r>
    </w:p>
    <w:p w14:paraId="3DB9D8A2"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2. Alış miktarı kadar alış gerçekleştirilir. Alış teklifinin durumu “eşleşti”, satış teklifinin durumu “kısmi eşleşti” olarak güncellenir ve kısmi eşleşen satış teklifi, kalan miktarı güncellenerek teklif defterinde beklemeye devam eder.</w:t>
      </w:r>
    </w:p>
    <w:p w14:paraId="1DB88B5B"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b.  Alış teklif fiyatı, en iyi satış teklif fiyatından küçükse teklif defterine en iyi alış teklifleri listesine fiyat durumuna göre eklenir.</w:t>
      </w:r>
    </w:p>
    <w:p w14:paraId="4BC6E6FE" w14:textId="77777777" w:rsidR="00486B7B" w:rsidRPr="00E4115B" w:rsidRDefault="00486B7B" w:rsidP="00C63473">
      <w:pPr>
        <w:jc w:val="both"/>
        <w:rPr>
          <w:rFonts w:ascii="Times New Roman" w:hAnsi="Times New Roman" w:cs="Times New Roman"/>
          <w:sz w:val="24"/>
          <w:szCs w:val="24"/>
        </w:rPr>
      </w:pPr>
    </w:p>
    <w:p w14:paraId="28987C4F" w14:textId="77777777" w:rsidR="00641082" w:rsidRPr="00E4115B" w:rsidRDefault="00641082" w:rsidP="00486B7B">
      <w:pPr>
        <w:pStyle w:val="Balk2"/>
      </w:pPr>
      <w:bookmarkStart w:id="49" w:name="_Toc64755941"/>
      <w:r w:rsidRPr="00E4115B">
        <w:t>Satış Tekliflerinde Eşleştirme Kuralları</w:t>
      </w:r>
      <w:bookmarkEnd w:id="49"/>
    </w:p>
    <w:p w14:paraId="7CE5BAF6" w14:textId="77777777" w:rsidR="00641082" w:rsidRPr="00E4115B" w:rsidRDefault="00641082" w:rsidP="00486B7B">
      <w:pPr>
        <w:pStyle w:val="Balk3"/>
        <w:rPr>
          <w:b w:val="0"/>
        </w:rPr>
      </w:pPr>
      <w:r w:rsidRPr="00E4115B">
        <w:rPr>
          <w:b w:val="0"/>
        </w:rPr>
        <w:t>Teklif bildirim şartlarına uygun olarak satış yönünde verilen tekliflerde;</w:t>
      </w:r>
    </w:p>
    <w:p w14:paraId="14426E86"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a.  Satış teklif fiyatı en iyi alış teklif fiyatından küçük veya eşitse tekliflerin miktarları karşılaştırılır;</w:t>
      </w:r>
    </w:p>
    <w:p w14:paraId="5396C798" w14:textId="77777777" w:rsidR="00641082" w:rsidRPr="00E4115B" w:rsidRDefault="00641082" w:rsidP="00486B7B">
      <w:pPr>
        <w:ind w:firstLine="284"/>
        <w:jc w:val="both"/>
        <w:rPr>
          <w:rFonts w:ascii="Times New Roman" w:hAnsi="Times New Roman" w:cs="Times New Roman"/>
          <w:sz w:val="24"/>
          <w:szCs w:val="24"/>
        </w:rPr>
      </w:pPr>
      <w:r w:rsidRPr="00E4115B">
        <w:rPr>
          <w:rFonts w:ascii="Times New Roman" w:hAnsi="Times New Roman" w:cs="Times New Roman"/>
          <w:sz w:val="24"/>
          <w:szCs w:val="24"/>
        </w:rPr>
        <w:t xml:space="preserve">i. Satış teklif miktarı en iyi alış teklif miktarına eşitse tamamen eşleştirme yapılır. </w:t>
      </w:r>
    </w:p>
    <w:p w14:paraId="5A7405E8" w14:textId="77777777" w:rsidR="00486B7B"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 İşlem, teklif defterine önceden girilmiş olup bekleyen alış teklif fiyatına göre gerçekleştirilir.</w:t>
      </w:r>
    </w:p>
    <w:p w14:paraId="30138081"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2. Durumları “eşleşti” olarak güncellenir ve eşleşen alış-satış teklifleri teklif defterinden çıkarılarak en iyi teklif listeleri güncellenir.</w:t>
      </w:r>
    </w:p>
    <w:p w14:paraId="7735ABED" w14:textId="77777777" w:rsidR="00641082" w:rsidRPr="00E4115B" w:rsidRDefault="00641082" w:rsidP="00486B7B">
      <w:pPr>
        <w:ind w:firstLine="284"/>
        <w:jc w:val="both"/>
        <w:rPr>
          <w:rFonts w:ascii="Times New Roman" w:hAnsi="Times New Roman" w:cs="Times New Roman"/>
          <w:sz w:val="24"/>
          <w:szCs w:val="24"/>
        </w:rPr>
      </w:pPr>
      <w:r w:rsidRPr="00E4115B">
        <w:rPr>
          <w:rFonts w:ascii="Times New Roman" w:hAnsi="Times New Roman" w:cs="Times New Roman"/>
          <w:sz w:val="24"/>
          <w:szCs w:val="24"/>
        </w:rPr>
        <w:t>ii.  Satış miktarı en iyi alış teklifinin miktarından büyükse kısmi eşleştirme yapılır.</w:t>
      </w:r>
    </w:p>
    <w:p w14:paraId="6111A5D9" w14:textId="77777777" w:rsidR="00486B7B"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 İşlem, teklif defterine önceden girilmiş olup bekleyen alış teklif fiyatına göre gerçekleştirilir.</w:t>
      </w:r>
    </w:p>
    <w:p w14:paraId="7D144E52" w14:textId="77777777" w:rsidR="00486B7B"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2. Alış miktarı kadar satış gerçekleştirilir. Alış teklifinin durumu “eşleşti”, satış teklifinin durumu “kısmi eşleşti” olarak güncellenir ve eşleşen alış teklifi teklif defterinden çıkarılır.</w:t>
      </w:r>
    </w:p>
    <w:p w14:paraId="0F0D8D7D"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3. Kalan satış miktarı için yeni bir eşleştirmeye bakılır, eşleşmemesi durumunda en iyi satış teklifi olarak teklif defterinde beklemeye devam eder. En iyi teklif listeleri yeniden sıralı olarak güncellenir.</w:t>
      </w:r>
    </w:p>
    <w:p w14:paraId="15F9A4E4" w14:textId="77777777" w:rsidR="00641082" w:rsidRPr="00E4115B" w:rsidRDefault="00641082" w:rsidP="00486B7B">
      <w:pPr>
        <w:ind w:firstLine="284"/>
        <w:jc w:val="both"/>
        <w:rPr>
          <w:rFonts w:ascii="Times New Roman" w:hAnsi="Times New Roman" w:cs="Times New Roman"/>
          <w:sz w:val="24"/>
          <w:szCs w:val="24"/>
        </w:rPr>
      </w:pPr>
      <w:r w:rsidRPr="00E4115B">
        <w:rPr>
          <w:rFonts w:ascii="Times New Roman" w:hAnsi="Times New Roman" w:cs="Times New Roman"/>
          <w:sz w:val="24"/>
          <w:szCs w:val="24"/>
        </w:rPr>
        <w:t>iii.  Satış miktarı en iyi alış teklifinin miktarından küçükse tamamen eşleştirme yapılır.</w:t>
      </w:r>
    </w:p>
    <w:p w14:paraId="25378650" w14:textId="77777777" w:rsidR="00486B7B" w:rsidRPr="00E4115B" w:rsidRDefault="00486B7B"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w:t>
      </w:r>
      <w:r w:rsidR="00641082" w:rsidRPr="00E4115B">
        <w:rPr>
          <w:rFonts w:ascii="Times New Roman" w:hAnsi="Times New Roman" w:cs="Times New Roman"/>
          <w:sz w:val="24"/>
          <w:szCs w:val="24"/>
        </w:rPr>
        <w:t>. İşlem, teklif defterinde önceden girilmiş olup bekleyen alış teklif fiyatına göre gerçekleştirilir.</w:t>
      </w:r>
    </w:p>
    <w:p w14:paraId="5E28697A"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2. Satış miktarı kadar satış gerçekleştirilir. Satış teklifinin durumu “eşleşti”, alış teklifinin durumu “kısmi eşleşti” olarak güncellenir ve kısmi eşleşen alış teklifi, kalan miktarı güncellenerek teklif defterinde beklemeye devam eder.</w:t>
      </w:r>
    </w:p>
    <w:p w14:paraId="4F6352EC" w14:textId="77777777" w:rsidR="007E6742" w:rsidRPr="00E4115B" w:rsidRDefault="00641082" w:rsidP="00C63473">
      <w:pPr>
        <w:autoSpaceDE w:val="0"/>
        <w:autoSpaceDN w:val="0"/>
        <w:adjustRightInd w:val="0"/>
        <w:spacing w:after="240" w:line="240" w:lineRule="auto"/>
        <w:jc w:val="both"/>
        <w:rPr>
          <w:rFonts w:ascii="Times New Roman" w:hAnsi="Times New Roman" w:cs="Times New Roman"/>
          <w:sz w:val="24"/>
          <w:szCs w:val="24"/>
        </w:rPr>
      </w:pPr>
      <w:r w:rsidRPr="00E4115B">
        <w:rPr>
          <w:rFonts w:ascii="Times New Roman" w:hAnsi="Times New Roman" w:cs="Times New Roman"/>
          <w:sz w:val="24"/>
          <w:szCs w:val="24"/>
        </w:rPr>
        <w:t>b. Satış teklif fiyatı, en iyi alış teklif fiyatından büyükse teklif defterine en iyi satış teklifleri listesine fiyat durumuna göre eklenir.</w:t>
      </w:r>
    </w:p>
    <w:p w14:paraId="30710D43" w14:textId="77777777" w:rsidR="00641082" w:rsidRPr="00E4115B" w:rsidRDefault="00641082" w:rsidP="00486B7B">
      <w:pPr>
        <w:pStyle w:val="Balk2"/>
      </w:pPr>
      <w:bookmarkStart w:id="50" w:name="_Toc64755942"/>
      <w:r w:rsidRPr="00E4115B">
        <w:t>Ticari İşlem Onayı</w:t>
      </w:r>
      <w:bookmarkEnd w:id="50"/>
    </w:p>
    <w:p w14:paraId="7C16A1E5" w14:textId="77777777" w:rsidR="00F717FB" w:rsidRPr="00E4115B" w:rsidRDefault="00641082" w:rsidP="00F717FB">
      <w:pPr>
        <w:pStyle w:val="Balk3"/>
        <w:ind w:left="0" w:hanging="11"/>
        <w:rPr>
          <w:b w:val="0"/>
        </w:rPr>
      </w:pPr>
      <w:r w:rsidRPr="00E4115B">
        <w:rPr>
          <w:b w:val="0"/>
        </w:rPr>
        <w:t>Eşleşen teklifler en iyi fiyatlı teklif sırasından çıkarılır ve piyasa işletmecisi, ilgili piyasa katılımcılarına tekliflerinin eşleşerek onaylandığını STP aracılığıyla anlık olarak bildirir. Kısmen eşleşme olması durumunda, eşleşmemiş kalan miktar, teklif geçerli olduğu sürece teklif defterindeki yerini korur. Bu bildirimle birlikte piyasa katılımcıları, STP aracılığıyla kesinleşmiş eşleşmesini, karşı tarafın kimliğine ilişkin bilgi olmaksızın görebilir.</w:t>
      </w:r>
    </w:p>
    <w:p w14:paraId="0B4DD73D" w14:textId="77777777" w:rsidR="00641082" w:rsidRPr="00E4115B" w:rsidRDefault="00641082" w:rsidP="00F717FB">
      <w:pPr>
        <w:pStyle w:val="Balk3"/>
        <w:ind w:left="0" w:hanging="11"/>
        <w:rPr>
          <w:b w:val="0"/>
        </w:rPr>
      </w:pPr>
      <w:r w:rsidRPr="00E4115B">
        <w:rPr>
          <w:b w:val="0"/>
        </w:rPr>
        <w:t>Ticari işlem onayı en az şu bilgileri içerir;</w:t>
      </w:r>
    </w:p>
    <w:p w14:paraId="4446FB2E"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a. Piyasa katılımcısının adı, teklif kodu ve eşleşme kodu,</w:t>
      </w:r>
    </w:p>
    <w:p w14:paraId="721EDA24"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b. Eşleşme yapılan kontrat,</w:t>
      </w:r>
    </w:p>
    <w:p w14:paraId="24A38D64"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c. Eşleşme zamanı,</w:t>
      </w:r>
    </w:p>
    <w:p w14:paraId="317407FA" w14:textId="77777777" w:rsidR="00641082" w:rsidRPr="00E4115B" w:rsidRDefault="00F717FB"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641082" w:rsidRPr="00E4115B">
        <w:rPr>
          <w:rFonts w:ascii="Times New Roman" w:hAnsi="Times New Roman" w:cs="Times New Roman"/>
          <w:sz w:val="24"/>
          <w:szCs w:val="24"/>
        </w:rPr>
        <w:t>. Eşleşme fiyat ve miktarı,</w:t>
      </w:r>
    </w:p>
    <w:p w14:paraId="4B62C2B5" w14:textId="77777777" w:rsidR="00641082" w:rsidRPr="00E4115B" w:rsidRDefault="00F717FB"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d. </w:t>
      </w:r>
      <w:r w:rsidR="00641082" w:rsidRPr="00E4115B">
        <w:rPr>
          <w:rFonts w:ascii="Times New Roman" w:hAnsi="Times New Roman" w:cs="Times New Roman"/>
          <w:sz w:val="24"/>
          <w:szCs w:val="24"/>
        </w:rPr>
        <w:t>Piyasa işletmecisi tarafından gerekli görülmesi halinde STP aracılığı ile piyasa katılımcılarına duyurulacak diğer bilgileri.</w:t>
      </w:r>
    </w:p>
    <w:p w14:paraId="26D47F22" w14:textId="77777777" w:rsidR="00641082" w:rsidRPr="00E4115B" w:rsidRDefault="001822C2" w:rsidP="001822C2">
      <w:pPr>
        <w:pStyle w:val="Balk2"/>
      </w:pPr>
      <w:bookmarkStart w:id="51" w:name="_Toc64755943"/>
      <w:r w:rsidRPr="00E4115B">
        <w:t>T</w:t>
      </w:r>
      <w:r w:rsidR="00641082" w:rsidRPr="00E4115B">
        <w:t>ekliflerin ve İşlemlerin İptali</w:t>
      </w:r>
      <w:bookmarkEnd w:id="51"/>
    </w:p>
    <w:p w14:paraId="411E0BFA" w14:textId="77777777" w:rsidR="00641082" w:rsidRPr="00E4115B" w:rsidRDefault="00641082" w:rsidP="001822C2">
      <w:pPr>
        <w:pStyle w:val="Balk3"/>
        <w:ind w:left="0" w:hanging="11"/>
        <w:rPr>
          <w:b w:val="0"/>
        </w:rPr>
      </w:pPr>
      <w:r w:rsidRPr="00E4115B">
        <w:rPr>
          <w:b w:val="0"/>
        </w:rPr>
        <w:t>Aşağıdaki hallerin en az birinin varlığı hâlinde, işleme taraf olan en az bir piyasa katılımcısının başvurusu üzerine veya re’sen, bekleyen tekliflerin veya gerçekleşen işlemlerin tamamı veya bir kısmı piyasa işletmecisi tarafından iptal edilebilir:</w:t>
      </w:r>
    </w:p>
    <w:p w14:paraId="38BE3A61"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a.  Piyasa işletmecisinden kaynaklı bilgisayar, yazılım veya diğer teknolojik altyapılardan kaynaklanan hataların ortaya çıkması durumunda teklifler ve işlemler.</w:t>
      </w:r>
    </w:p>
    <w:p w14:paraId="74D27CCB" w14:textId="77777777" w:rsidR="00641082" w:rsidRPr="004C5107" w:rsidRDefault="00641082" w:rsidP="00C63473">
      <w:pPr>
        <w:jc w:val="both"/>
        <w:rPr>
          <w:rFonts w:ascii="Times New Roman" w:hAnsi="Times New Roman" w:cs="Times New Roman"/>
          <w:sz w:val="24"/>
          <w:szCs w:val="24"/>
        </w:rPr>
      </w:pPr>
      <w:r w:rsidRPr="004C5107">
        <w:rPr>
          <w:rFonts w:ascii="Times New Roman" w:hAnsi="Times New Roman" w:cs="Times New Roman"/>
          <w:sz w:val="24"/>
          <w:szCs w:val="24"/>
        </w:rPr>
        <w:t>b.  Piyasa katılımcılarının ve/veya kontratların işlemlerini durduracak diğer maddi unsurların varlığı halinde teklifler ve işlemler.</w:t>
      </w:r>
    </w:p>
    <w:p w14:paraId="4A0A649E" w14:textId="77777777" w:rsidR="00641082" w:rsidRPr="00E4115B" w:rsidRDefault="00641082" w:rsidP="00C63473">
      <w:pPr>
        <w:jc w:val="both"/>
        <w:rPr>
          <w:rFonts w:ascii="Times New Roman" w:hAnsi="Times New Roman" w:cs="Times New Roman"/>
          <w:sz w:val="24"/>
          <w:szCs w:val="24"/>
        </w:rPr>
      </w:pPr>
      <w:r w:rsidRPr="004C5107">
        <w:rPr>
          <w:rFonts w:ascii="Times New Roman" w:hAnsi="Times New Roman" w:cs="Times New Roman"/>
          <w:sz w:val="24"/>
          <w:szCs w:val="24"/>
        </w:rPr>
        <w:t>c.  Piyasa bozucu veya haksız menfaat elde etmeye yönelik olduğu tespit edilen teklif ve işlemler.</w:t>
      </w:r>
    </w:p>
    <w:p w14:paraId="0BC2D865" w14:textId="77777777" w:rsidR="0064108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641082" w:rsidRPr="00E4115B">
        <w:rPr>
          <w:rFonts w:ascii="Times New Roman" w:hAnsi="Times New Roman" w:cs="Times New Roman"/>
          <w:sz w:val="24"/>
          <w:szCs w:val="24"/>
        </w:rPr>
        <w:t>. Piyasa işletmecisine karşı mali yükümlülüklerinin yerine getirilmemesi durumunda mevcut teklifler.</w:t>
      </w:r>
    </w:p>
    <w:p w14:paraId="4CF449BF" w14:textId="77777777" w:rsidR="0064108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641082" w:rsidRPr="00E4115B">
        <w:rPr>
          <w:rFonts w:ascii="Times New Roman" w:hAnsi="Times New Roman" w:cs="Times New Roman"/>
          <w:sz w:val="24"/>
          <w:szCs w:val="24"/>
        </w:rPr>
        <w:t>. Kontratlara ilişkin olarak belirlenen günlük fiyat değişim limitleri dışında kalan teklifler.</w:t>
      </w:r>
    </w:p>
    <w:p w14:paraId="52BE00EC" w14:textId="77777777" w:rsidR="00641082" w:rsidRPr="00E4115B" w:rsidRDefault="00641082" w:rsidP="001822C2">
      <w:pPr>
        <w:pStyle w:val="Balk3"/>
        <w:ind w:left="0" w:hanging="11"/>
        <w:rPr>
          <w:b w:val="0"/>
        </w:rPr>
      </w:pPr>
      <w:r w:rsidRPr="00E4115B">
        <w:rPr>
          <w:b w:val="0"/>
        </w:rPr>
        <w:t>İptal işlemine ilişkin bilgilendirme STP aracılığıyla ilgili piyasa katılımcılarına duyurulur.</w:t>
      </w:r>
    </w:p>
    <w:p w14:paraId="5E364416" w14:textId="77777777" w:rsidR="00641082" w:rsidRPr="00E4115B" w:rsidRDefault="00641082" w:rsidP="001822C2">
      <w:pPr>
        <w:pStyle w:val="Balk3"/>
        <w:ind w:left="0" w:hanging="11"/>
        <w:rPr>
          <w:b w:val="0"/>
        </w:rPr>
      </w:pPr>
      <w:r w:rsidRPr="00E4115B">
        <w:rPr>
          <w:b w:val="0"/>
        </w:rPr>
        <w:t>Fiyatların arz ve talep çerçevesinde oluşması esastır. Bu duruma engel olabilecek tekliflerin piyasa işletmecisi tarafından tespit edilmesi halinde gerekli tedbirlerin alınmasını müteakip Kurum’a somut gerekçeleri ile bildirilir.</w:t>
      </w:r>
    </w:p>
    <w:p w14:paraId="62DEDE7A" w14:textId="77777777" w:rsidR="00641082" w:rsidRPr="00E4115B" w:rsidRDefault="00641082" w:rsidP="001822C2">
      <w:pPr>
        <w:pStyle w:val="Balk2"/>
      </w:pPr>
      <w:bookmarkStart w:id="52" w:name="_Toc64755944"/>
      <w:r w:rsidRPr="00E4115B">
        <w:t>Ticari İşlem İtiraz Süreci</w:t>
      </w:r>
      <w:bookmarkEnd w:id="52"/>
    </w:p>
    <w:p w14:paraId="1B09CA09" w14:textId="16838124" w:rsidR="00641082" w:rsidRPr="00E4115B" w:rsidRDefault="00641082" w:rsidP="001822C2">
      <w:pPr>
        <w:pStyle w:val="Balk3"/>
        <w:ind w:left="0" w:hanging="11"/>
        <w:rPr>
          <w:b w:val="0"/>
        </w:rPr>
      </w:pPr>
      <w:r w:rsidRPr="00E4115B">
        <w:rPr>
          <w:b w:val="0"/>
        </w:rPr>
        <w:t xml:space="preserve">Piyasa katılımcılarına, ticari işlem onaylarına ilişkin bildirimlerde hata bulunması durumunda itiraz edebilmeleri için bildirimden sonra 15 dakika süre tanınır. Ancak söz konusu itirazlar en geç seans dönemi bitiş saatinden 5 dakika sonrasına kadar yapılabilir. İtirazlar sadece itirazın süresinde yapılmış olması ve hatanın piyasa işletmecisinden kaynaklanması durumunda kabul edilir. İtirazın süresinde yapılmış ve haklı olması durumunda, piyasa işletmecisi düzeltilmiş </w:t>
      </w:r>
      <w:r w:rsidR="000B5738">
        <w:rPr>
          <w:b w:val="0"/>
        </w:rPr>
        <w:t xml:space="preserve">bildirimleri </w:t>
      </w:r>
      <w:r w:rsidRPr="00E4115B">
        <w:rPr>
          <w:b w:val="0"/>
        </w:rPr>
        <w:t>seans kapanışını müteakip 20 dakika içerisinde ilgili piyasa katılımcılarına gönderir.</w:t>
      </w:r>
    </w:p>
    <w:p w14:paraId="61987B55" w14:textId="448CD033" w:rsidR="00641082" w:rsidRPr="00E4115B" w:rsidRDefault="00641082" w:rsidP="001822C2">
      <w:pPr>
        <w:pStyle w:val="Balk3"/>
        <w:ind w:left="0" w:hanging="11"/>
        <w:rPr>
          <w:b w:val="0"/>
        </w:rPr>
      </w:pPr>
      <w:r w:rsidRPr="00E4115B">
        <w:rPr>
          <w:b w:val="0"/>
        </w:rPr>
        <w:t>Yapılan itiraz, piyasa işletmecisi tarafından haklı bulunmadığı sürece, ilgili piyasa katılımcısının yükümlülüklerini ortadan kaldırmaz. Piyasa işletmecisinin yapılan itirazları haklı bulmaması durumunda; bunu gerekçeleri ile birlikte ilgili piyasa katılımcısına bildirir.</w:t>
      </w:r>
      <w:r w:rsidR="001822C2" w:rsidRPr="00E4115B">
        <w:rPr>
          <w:b w:val="0"/>
        </w:rPr>
        <w:t xml:space="preserve"> </w:t>
      </w:r>
      <w:r w:rsidRPr="00E4115B">
        <w:rPr>
          <w:b w:val="0"/>
        </w:rPr>
        <w:t>Kendisine tanınan süre içinde itirazda bulunmayan piyasa katılımcısı, ticari işlem onayını tüm içeriğiyle birlikte kabul etmiş sayılır. Yapılan ticari işlem onayları, itiraz süresinin tamamlanmasından sonra kontrat yükümlülüğü çerçevesinde sözleşme niteliği kazanır.</w:t>
      </w:r>
    </w:p>
    <w:p w14:paraId="31C05155" w14:textId="77777777" w:rsidR="00641082" w:rsidRPr="00E4115B" w:rsidRDefault="00641082" w:rsidP="001822C2">
      <w:pPr>
        <w:pStyle w:val="Balk3"/>
        <w:ind w:left="0" w:hanging="11"/>
        <w:rPr>
          <w:b w:val="0"/>
        </w:rPr>
      </w:pPr>
      <w:r w:rsidRPr="00E4115B">
        <w:rPr>
          <w:b w:val="0"/>
        </w:rPr>
        <w:lastRenderedPageBreak/>
        <w:t>Bir kontrata ilişkin birden çok sayıda itiraz olması durumunda, piyasa işletmecisi itirazları değerlendirerek ilgili kontratı piyasa katılımcılarına duyurarak askıya alabilir.</w:t>
      </w:r>
    </w:p>
    <w:p w14:paraId="39FD0179" w14:textId="77777777" w:rsidR="00641082" w:rsidRPr="00E4115B" w:rsidRDefault="001822C2" w:rsidP="001822C2">
      <w:pPr>
        <w:pStyle w:val="Balk3"/>
        <w:ind w:left="0" w:hanging="11"/>
        <w:rPr>
          <w:b w:val="0"/>
        </w:rPr>
      </w:pPr>
      <w:r w:rsidRPr="00E4115B">
        <w:rPr>
          <w:b w:val="0"/>
        </w:rPr>
        <w:t>P</w:t>
      </w:r>
      <w:r w:rsidR="00641082" w:rsidRPr="00E4115B">
        <w:rPr>
          <w:b w:val="0"/>
        </w:rPr>
        <w:t>iyasa işletmecisi tarafından haklı bulunmayan itiraz başına tahsil edilecek tutar, Kurul Kararı ile belirlenir ve piyasa katılımcısının piyasa işletim ücretine ilave edilir.</w:t>
      </w:r>
    </w:p>
    <w:p w14:paraId="3A2E3F65" w14:textId="77777777" w:rsidR="00641082" w:rsidRPr="00E4115B" w:rsidRDefault="00641082" w:rsidP="00C63473">
      <w:pPr>
        <w:autoSpaceDE w:val="0"/>
        <w:autoSpaceDN w:val="0"/>
        <w:adjustRightInd w:val="0"/>
        <w:spacing w:after="240" w:line="240" w:lineRule="auto"/>
        <w:jc w:val="both"/>
        <w:rPr>
          <w:rFonts w:ascii="Times New Roman" w:hAnsi="Times New Roman" w:cs="Times New Roman"/>
          <w:sz w:val="24"/>
          <w:szCs w:val="24"/>
        </w:rPr>
      </w:pPr>
    </w:p>
    <w:p w14:paraId="1B42E7A0" w14:textId="77777777" w:rsidR="007E6742" w:rsidRPr="00E4115B" w:rsidRDefault="007E6742" w:rsidP="004A35D9">
      <w:pPr>
        <w:pStyle w:val="Balk1"/>
      </w:pPr>
      <w:bookmarkStart w:id="53" w:name="_Toc64755945"/>
      <w:r w:rsidRPr="00E4115B">
        <w:t>FİYATLAR</w:t>
      </w:r>
      <w:bookmarkEnd w:id="53"/>
    </w:p>
    <w:p w14:paraId="70BCA81C" w14:textId="77777777" w:rsidR="007E6742" w:rsidRPr="00E4115B" w:rsidRDefault="007E6742" w:rsidP="001822C2">
      <w:pPr>
        <w:pStyle w:val="Balk2"/>
      </w:pPr>
      <w:bookmarkStart w:id="54" w:name="_Toc64755946"/>
      <w:bookmarkStart w:id="55" w:name="_Toc64755947"/>
      <w:bookmarkEnd w:id="54"/>
      <w:r w:rsidRPr="00E4115B">
        <w:t>Açılış Fiyatı</w:t>
      </w:r>
      <w:bookmarkEnd w:id="55"/>
    </w:p>
    <w:p w14:paraId="108A22DA" w14:textId="77777777" w:rsidR="007E6742" w:rsidRPr="00E4115B" w:rsidRDefault="007E6742" w:rsidP="001822C2">
      <w:pPr>
        <w:pStyle w:val="Balk3"/>
        <w:ind w:left="0" w:hanging="11"/>
        <w:rPr>
          <w:b w:val="0"/>
        </w:rPr>
      </w:pPr>
      <w:r w:rsidRPr="00E4115B">
        <w:rPr>
          <w:b w:val="0"/>
        </w:rPr>
        <w:t xml:space="preserve">Kontratların seans başlangıcında, sunulan teklifler için günlük fiyat değişim limitleri kontrolünün uygulanmasında ve teminat hesaplarında kullanılan fiyattır. </w:t>
      </w:r>
    </w:p>
    <w:p w14:paraId="1E67AF3C" w14:textId="77777777" w:rsidR="007E6742" w:rsidRPr="00E4115B" w:rsidRDefault="007E6742" w:rsidP="001822C2">
      <w:pPr>
        <w:pStyle w:val="Balk3"/>
        <w:ind w:left="0" w:hanging="11"/>
        <w:rPr>
          <w:b w:val="0"/>
        </w:rPr>
      </w:pPr>
      <w:r w:rsidRPr="00E4115B">
        <w:rPr>
          <w:b w:val="0"/>
        </w:rPr>
        <w:t>Kontratların “açılış fiyatı” olarak aşağıda belirtilen fiyatlar esas alınır;</w:t>
      </w:r>
    </w:p>
    <w:p w14:paraId="0ABA4074"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a. İlgili kontratın işleme açıldığı ilk gün için belirlenen “baz fiyat”. </w:t>
      </w:r>
    </w:p>
    <w:p w14:paraId="264769B3"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İlgili kontratın ilk işlem gününden sonraki işlem günlerinde, ilan edilen son “GGF”. </w:t>
      </w:r>
    </w:p>
    <w:p w14:paraId="1CAEBD6A"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c. Bir kontratın işlem görmesinin geçici olarak durdurulması ve yeniden işleme açılması halinde yeniden belirlenen “baz fiyat”.</w:t>
      </w:r>
    </w:p>
    <w:p w14:paraId="76A546A0" w14:textId="77777777" w:rsidR="007E6742" w:rsidRPr="00E4115B" w:rsidRDefault="007E6742" w:rsidP="001822C2">
      <w:pPr>
        <w:pStyle w:val="Balk2"/>
      </w:pPr>
      <w:bookmarkStart w:id="56" w:name="_Toc64755948"/>
      <w:r w:rsidRPr="00E4115B">
        <w:t>Baz Fiyat</w:t>
      </w:r>
      <w:bookmarkEnd w:id="56"/>
    </w:p>
    <w:p w14:paraId="3D934E07" w14:textId="77777777" w:rsidR="007E6742" w:rsidRPr="00E4115B" w:rsidRDefault="007E6742" w:rsidP="001822C2">
      <w:pPr>
        <w:pStyle w:val="Balk3"/>
        <w:ind w:left="0" w:hanging="11"/>
        <w:rPr>
          <w:b w:val="0"/>
        </w:rPr>
      </w:pPr>
      <w:r w:rsidRPr="00E4115B">
        <w:rPr>
          <w:b w:val="0"/>
        </w:rPr>
        <w:t>Baz fiyat, her bir kontratın işleme açıldığı ilk gün için veya bir kontratın işlem görmesinin geçici olarak durdurulması halinde yeniden işleme açılması sırasında teklif girilebilecek fiyat aralığının ve piyasa katılımcılarının bulundurmaları gereken teminatın hesaplanmasında kullanılmak üzere belirlenen fiyattır.</w:t>
      </w:r>
    </w:p>
    <w:p w14:paraId="57253D94" w14:textId="77777777" w:rsidR="007E6742" w:rsidRPr="00E4115B" w:rsidRDefault="007E6742" w:rsidP="001822C2">
      <w:pPr>
        <w:pStyle w:val="Balk3"/>
        <w:ind w:left="0" w:hanging="11"/>
        <w:rPr>
          <w:b w:val="0"/>
        </w:rPr>
      </w:pPr>
      <w:r w:rsidRPr="00E4115B">
        <w:rPr>
          <w:b w:val="0"/>
        </w:rPr>
        <w:t>Bir kontratın ilk kez işleme açılması halinde baz fiyat, kontratın işleme açılmasından önceki son iş günü bitimine kadar sırasıyla aşağıdaki adımlar takip edilerek belirlenir.</w:t>
      </w:r>
    </w:p>
    <w:p w14:paraId="4AB84B34"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a. Baz fiyat hesaplaması yapılacak kontratın teslimat dönemini içeren bir kontrata ilişkin bir GGF değerinin bulunması ve bu kontratın kapsadığı diğer dönemlere ilişkin bir GGF değerinin bulunması halinde ilgili kontratların teslimat dönemi gün sayıları dikkate alınarak 10.4.1 maddesinde yer alan eşitlik kullanılarak baz fiyat hesaplanır.</w:t>
      </w:r>
    </w:p>
    <w:p w14:paraId="1B29EE13"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10.4.1 maddesi uyarınca hesaplama yapılamaması halinde 10.4.2 maddesinde yer alan formül kullanılarak baz fiyat belirlenir. </w:t>
      </w:r>
    </w:p>
    <w:p w14:paraId="329EFCC2" w14:textId="77777777" w:rsidR="007E6742" w:rsidRPr="00E4115B" w:rsidRDefault="007E6742" w:rsidP="001822C2">
      <w:pPr>
        <w:pStyle w:val="Balk3"/>
        <w:ind w:left="0" w:hanging="11"/>
        <w:rPr>
          <w:b w:val="0"/>
        </w:rPr>
      </w:pPr>
      <w:r w:rsidRPr="00E4115B">
        <w:rPr>
          <w:b w:val="0"/>
        </w:rPr>
        <w:t>Bir kontratın işlem görmesinin geçici olarak durdurulması halinde baz fiyat sırasıyla aşağıdaki adımlar takip edilerek belirlenir.</w:t>
      </w:r>
    </w:p>
    <w:p w14:paraId="18537E9D" w14:textId="49962CED" w:rsidR="007E6742" w:rsidRPr="00E4115B" w:rsidRDefault="00823075" w:rsidP="00C63473">
      <w:pPr>
        <w:jc w:val="both"/>
        <w:rPr>
          <w:rFonts w:ascii="Times New Roman" w:hAnsi="Times New Roman" w:cs="Times New Roman"/>
          <w:sz w:val="24"/>
          <w:szCs w:val="24"/>
        </w:rPr>
      </w:pPr>
      <w:r>
        <w:rPr>
          <w:rFonts w:ascii="Times New Roman" w:hAnsi="Times New Roman" w:cs="Times New Roman"/>
          <w:sz w:val="24"/>
          <w:szCs w:val="24"/>
        </w:rPr>
        <w:t>a. 10.4</w:t>
      </w:r>
      <w:r w:rsidR="007E6742" w:rsidRPr="00E4115B">
        <w:rPr>
          <w:rFonts w:ascii="Times New Roman" w:hAnsi="Times New Roman" w:cs="Times New Roman"/>
          <w:sz w:val="24"/>
          <w:szCs w:val="24"/>
        </w:rPr>
        <w:t xml:space="preserve"> maddesi dikkate alınarak hesaplama yapılır.</w:t>
      </w:r>
    </w:p>
    <w:p w14:paraId="562D023C"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b. En güncel GGF, baz fiyat olarak belirlenir.</w:t>
      </w:r>
    </w:p>
    <w:p w14:paraId="17BB904A" w14:textId="77777777" w:rsidR="007E6742" w:rsidRPr="00E4115B" w:rsidRDefault="007E6742" w:rsidP="001822C2">
      <w:pPr>
        <w:pStyle w:val="Balk2"/>
      </w:pPr>
      <w:bookmarkStart w:id="57" w:name="_Toc64755949"/>
      <w:r w:rsidRPr="00E4115B">
        <w:t>Günlük Gösterge Fiyatı (GGF)</w:t>
      </w:r>
      <w:bookmarkEnd w:id="57"/>
    </w:p>
    <w:p w14:paraId="119B2E38" w14:textId="77777777" w:rsidR="007E6742" w:rsidRPr="00E4115B" w:rsidRDefault="007E6742" w:rsidP="001822C2">
      <w:pPr>
        <w:pStyle w:val="Balk3"/>
        <w:ind w:left="0" w:hanging="11"/>
        <w:rPr>
          <w:b w:val="0"/>
        </w:rPr>
      </w:pPr>
      <w:r w:rsidRPr="00E4115B">
        <w:rPr>
          <w:b w:val="0"/>
        </w:rPr>
        <w:t>Her bir kontrat için GGF, seans sonunda piyasa katılımcılarının sahip oldukları pozisyonlar için bulundurmaları gereken teminatın hesaplanmasında ve ilgili kontratın bir sonraki gün için işlem görebileceği fiyat aralığının tespitinde kullanılır.</w:t>
      </w:r>
    </w:p>
    <w:p w14:paraId="0948CAD3" w14:textId="77777777" w:rsidR="007E6742" w:rsidRPr="00E4115B" w:rsidRDefault="007E6742" w:rsidP="001822C2">
      <w:pPr>
        <w:pStyle w:val="Balk3"/>
        <w:ind w:left="0" w:hanging="11"/>
        <w:rPr>
          <w:b w:val="0"/>
        </w:rPr>
      </w:pPr>
      <w:r w:rsidRPr="00E4115B">
        <w:rPr>
          <w:b w:val="0"/>
        </w:rPr>
        <w:lastRenderedPageBreak/>
        <w:t>Her bir kontrat için sırasıyla aşağıdaki adımlar izlenerek GGF belirlenir:</w:t>
      </w:r>
    </w:p>
    <w:p w14:paraId="4899C822"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a. Seans içerisinde ilgili kontrat için gerçekleştirilen tüm eşleşmelerin 10.000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ve üzerinde olması halinde ilgili eşleşmelerin miktar ağırlıklı ortalama fiyatı GGF olarak belirlenir. </w:t>
      </w:r>
    </w:p>
    <w:p w14:paraId="4E9FA521"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b. Seans içerisinde toplam eşleşme miktarının 5.000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(5.000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dahil) ile 10.000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arasında olması ve teklif defterinde en az 300 saniye yer alan alış ve satış teklifi bulunması halinde, </w:t>
      </w:r>
    </w:p>
    <w:p w14:paraId="5D8EC897"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i. Eşleşmelerin miktar ağırlıklı ortalama fiyatının %75’i,</w:t>
      </w:r>
    </w:p>
    <w:p w14:paraId="49B22E62"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ii. İlgili süre kriterini karşılayan en iyi alış ve satış tekliflerine ait fiyatların aritmetik ortalamasının % 25’i, </w:t>
      </w:r>
    </w:p>
    <w:p w14:paraId="53AA4429"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toplanarak GGF belirlenir. </w:t>
      </w:r>
    </w:p>
    <w:p w14:paraId="4605BB93" w14:textId="77777777" w:rsidR="005A22F3"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c. Seans içerisinde toplam eşleşme miktarının 5.000 Sm</w:t>
      </w:r>
      <w:r w:rsidRPr="00E4115B">
        <w:rPr>
          <w:rFonts w:ascii="Times New Roman" w:hAnsi="Times New Roman" w:cs="Times New Roman"/>
          <w:sz w:val="24"/>
          <w:szCs w:val="24"/>
          <w:vertAlign w:val="superscript"/>
        </w:rPr>
        <w:t xml:space="preserve">3 </w:t>
      </w:r>
      <w:r w:rsidRPr="00E4115B">
        <w:rPr>
          <w:rFonts w:ascii="Times New Roman" w:hAnsi="Times New Roman" w:cs="Times New Roman"/>
          <w:sz w:val="24"/>
          <w:szCs w:val="24"/>
        </w:rPr>
        <w:t>(5.000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dahil) ile 10.000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arasında olması ve teklif defterinde en az 300 saniye yer alan alış teklifi bulunması ve bu teklif fiyatının eşleşmelerin ağırlıklı ortalama fiyatından yüksek olması halinde,</w:t>
      </w:r>
    </w:p>
    <w:p w14:paraId="64F9D8B5"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 Eşleşmelerin miktar ağırlıklı ortalama fiyatının %75’i, </w:t>
      </w:r>
    </w:p>
    <w:p w14:paraId="5FFB7D94"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ii. İlgili süre kriterini karşılayan en iyi alış teklifine ait fiyatın % 25’i, </w:t>
      </w:r>
    </w:p>
    <w:p w14:paraId="4E0D9133"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toplanarak GGF belirlenir. Teklif defterinde bulunan alış teklifi fiyatının, eşleşmelerin ağırlıklı ortalama fiyatından düşük olması halinde söz konusu teklif GGF hesaplamasında dikkate alınmaz.</w:t>
      </w:r>
    </w:p>
    <w:p w14:paraId="798823B8" w14:textId="77777777"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7E6742" w:rsidRPr="00E4115B">
        <w:rPr>
          <w:rFonts w:ascii="Times New Roman" w:hAnsi="Times New Roman" w:cs="Times New Roman"/>
          <w:sz w:val="24"/>
          <w:szCs w:val="24"/>
        </w:rPr>
        <w:t>. Seans içerisinde toplam eşleşme miktarının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dahil) ile 10.000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arasında olması ve teklif defterinde en az 300 saniye yer alan satış teklifi bulunması ve bu teklif fiyatının eşleşmelerin ağırlıklı ortalama fiyatından düşük olması halinde, </w:t>
      </w:r>
    </w:p>
    <w:p w14:paraId="76CF5402"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i. Eşleşmelerin miktar ağırlıklı ortalama fiyatının %75’i,</w:t>
      </w:r>
    </w:p>
    <w:p w14:paraId="0AD6CED6"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ii. İlgili süre kriterini karşılayan en iyi satış teklifine ait fiyatın % 25’i, </w:t>
      </w:r>
    </w:p>
    <w:p w14:paraId="6DC98FD4"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toplanarak GGF belirlenir. Teklif defterinde bulunan satış teklifi fiyatının, eşleşmelerin ağırlıklı ortalama fiyatından yüksek olması halinde söz konusu teklif GGF hesaplamasında dikkate alınmaz.</w:t>
      </w:r>
    </w:p>
    <w:p w14:paraId="689F98AC" w14:textId="29EE1439"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7E6742" w:rsidRPr="00E4115B">
        <w:rPr>
          <w:rFonts w:ascii="Times New Roman" w:hAnsi="Times New Roman" w:cs="Times New Roman"/>
          <w:sz w:val="24"/>
          <w:szCs w:val="24"/>
        </w:rPr>
        <w:t>. Seans içerisinde toplam eşleşme miktarının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dahil) ile 10.000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arasında olmas</w:t>
      </w:r>
      <w:r w:rsidR="00044390">
        <w:rPr>
          <w:rFonts w:ascii="Times New Roman" w:hAnsi="Times New Roman" w:cs="Times New Roman"/>
          <w:sz w:val="24"/>
          <w:szCs w:val="24"/>
        </w:rPr>
        <w:t>ı ve teklif defterinde (c) ve (ç</w:t>
      </w:r>
      <w:r w:rsidR="007E6742" w:rsidRPr="00E4115B">
        <w:rPr>
          <w:rFonts w:ascii="Times New Roman" w:hAnsi="Times New Roman" w:cs="Times New Roman"/>
          <w:sz w:val="24"/>
          <w:szCs w:val="24"/>
        </w:rPr>
        <w:t>) bentlerinde belirtilen süre ve fiyat kriterlerini sağlayan teklif bulunmaması halinde ilgili eşleşmelerin miktar ağırlıklı ortalama fiyatı GGF olarak belirlenir.</w:t>
      </w:r>
    </w:p>
    <w:p w14:paraId="4DB0E49C" w14:textId="77777777"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e</w:t>
      </w:r>
      <w:r w:rsidR="007E6742" w:rsidRPr="00E4115B">
        <w:rPr>
          <w:rFonts w:ascii="Times New Roman" w:hAnsi="Times New Roman" w:cs="Times New Roman"/>
          <w:sz w:val="24"/>
          <w:szCs w:val="24"/>
        </w:rPr>
        <w:t>. Seans içerisinde toplam eşleşme miktarının 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ile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arasında olması ve teklif defterinde en az 300 saniye yer alan alış ve satış teklifi bulunması halinde, </w:t>
      </w:r>
    </w:p>
    <w:p w14:paraId="163F249E"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i.  Eşleşmelerin miktar ağırlıklı ortalama fiyatının %50’si,</w:t>
      </w:r>
    </w:p>
    <w:p w14:paraId="0F6C831D"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ii. İlgili süre kriterini karşılayan en iyi alış ve satış tekliflerine ait fiyatların aritmetik ortalamasının % 50’si,</w:t>
      </w:r>
    </w:p>
    <w:p w14:paraId="50EEAE79"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 toplanarak GGF belirlenir.</w:t>
      </w:r>
    </w:p>
    <w:p w14:paraId="6FA847F9" w14:textId="6FC32867" w:rsidR="007E6742" w:rsidRDefault="001822C2" w:rsidP="007966DB">
      <w:pPr>
        <w:spacing w:after="0"/>
        <w:jc w:val="both"/>
        <w:rPr>
          <w:rFonts w:ascii="Times New Roman" w:hAnsi="Times New Roman" w:cs="Times New Roman"/>
          <w:sz w:val="24"/>
          <w:szCs w:val="24"/>
        </w:rPr>
      </w:pPr>
      <w:r w:rsidRPr="00E4115B">
        <w:rPr>
          <w:rFonts w:ascii="Times New Roman" w:hAnsi="Times New Roman" w:cs="Times New Roman"/>
          <w:sz w:val="24"/>
          <w:szCs w:val="24"/>
        </w:rPr>
        <w:lastRenderedPageBreak/>
        <w:t>f</w:t>
      </w:r>
      <w:r w:rsidR="007E6742" w:rsidRPr="00E4115B">
        <w:rPr>
          <w:rFonts w:ascii="Times New Roman" w:hAnsi="Times New Roman" w:cs="Times New Roman"/>
          <w:sz w:val="24"/>
          <w:szCs w:val="24"/>
        </w:rPr>
        <w:t>. Seans içerisinde toplam eşleşme miktarının 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ile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arasında olması, teklif defterinde en az 300 saniye yer alan alış teklifi bulunması ve bu teklif fiyatının eşleşmelerin ağırlıklı ortalama fiy</w:t>
      </w:r>
      <w:r w:rsidRPr="00E4115B">
        <w:rPr>
          <w:rFonts w:ascii="Times New Roman" w:hAnsi="Times New Roman" w:cs="Times New Roman"/>
          <w:sz w:val="24"/>
          <w:szCs w:val="24"/>
        </w:rPr>
        <w:t xml:space="preserve">atından yüksek olması halinde, </w:t>
      </w:r>
    </w:p>
    <w:p w14:paraId="2CF1EA22" w14:textId="77777777" w:rsidR="007966DB" w:rsidRPr="00E4115B" w:rsidRDefault="007966DB" w:rsidP="007966DB">
      <w:pPr>
        <w:spacing w:after="0"/>
        <w:jc w:val="both"/>
        <w:rPr>
          <w:rFonts w:ascii="Times New Roman" w:hAnsi="Times New Roman" w:cs="Times New Roman"/>
          <w:sz w:val="24"/>
          <w:szCs w:val="24"/>
        </w:rPr>
      </w:pPr>
    </w:p>
    <w:p w14:paraId="25DE0A81"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 Eşleşmelerin miktar ağırlıklı ortalama fiyatının %50’si, </w:t>
      </w:r>
    </w:p>
    <w:p w14:paraId="5245B1D5"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ii. İlgili süre kriterini karşılayan en iyi alış teklifine ait fiyatın % 50’si, </w:t>
      </w:r>
    </w:p>
    <w:p w14:paraId="56C41058"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toplanarak GGF belirlenir. Teklif defterinde bulunan alış teklifi fiyatının eşleşmelerin ağırlıklı ortalama fiyatından düşük olması halinde söz konusu teklif GGF hesaplamasında dikkate alınmaz.</w:t>
      </w:r>
    </w:p>
    <w:p w14:paraId="3AB3E340" w14:textId="77777777"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g</w:t>
      </w:r>
      <w:r w:rsidR="007E6742" w:rsidRPr="00E4115B">
        <w:rPr>
          <w:rFonts w:ascii="Times New Roman" w:hAnsi="Times New Roman" w:cs="Times New Roman"/>
          <w:sz w:val="24"/>
          <w:szCs w:val="24"/>
        </w:rPr>
        <w:t>. Seans içerisinde toplam eşleşme miktarının 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ile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arasında olması ve teklif defterinde en az 300 saniye yer alan satış teklifi bulunması ve bu teklif fiyatının eşleşmelerin ağırlıklı ortalama fiyatından düşük olması halinde, </w:t>
      </w:r>
    </w:p>
    <w:p w14:paraId="2221DB94"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i. Eşleşmelerin miktar ağırlıklı ortalama fiyatının %50’si,</w:t>
      </w:r>
    </w:p>
    <w:p w14:paraId="07F181A1"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ii. İlgili süre kriterini karşılayan en iyi satış teklifine ait fiyatın % 50’si, </w:t>
      </w:r>
    </w:p>
    <w:p w14:paraId="5706AE31"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toplanarak GGF belirlenir. Teklif defterinde bulunan satış teklifi fiyatının eşleşmelerin ağırlıklı ortalama fiyatından yüksek olması halinde söz konusu teklif GGF hesaplamasında dikkate alınmaz.</w:t>
      </w:r>
    </w:p>
    <w:p w14:paraId="36556A30" w14:textId="09974628" w:rsidR="007E6742" w:rsidRPr="00E4115B" w:rsidRDefault="001822C2" w:rsidP="007966DB">
      <w:pPr>
        <w:spacing w:line="240" w:lineRule="auto"/>
        <w:jc w:val="both"/>
        <w:rPr>
          <w:rFonts w:ascii="Times New Roman" w:hAnsi="Times New Roman" w:cs="Times New Roman"/>
          <w:sz w:val="24"/>
          <w:szCs w:val="24"/>
        </w:rPr>
      </w:pPr>
      <w:r w:rsidRPr="00E4115B">
        <w:rPr>
          <w:rFonts w:ascii="Times New Roman" w:hAnsi="Times New Roman" w:cs="Times New Roman"/>
          <w:sz w:val="24"/>
          <w:szCs w:val="24"/>
        </w:rPr>
        <w:t>ğ</w:t>
      </w:r>
      <w:r w:rsidR="007E6742" w:rsidRPr="00E4115B">
        <w:rPr>
          <w:rFonts w:ascii="Times New Roman" w:hAnsi="Times New Roman" w:cs="Times New Roman"/>
          <w:sz w:val="24"/>
          <w:szCs w:val="24"/>
        </w:rPr>
        <w:t>. Seans içerisinde toplam eşleşme miktarının 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ile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w:t>
      </w:r>
      <w:r w:rsidR="00044390">
        <w:rPr>
          <w:rFonts w:ascii="Times New Roman" w:hAnsi="Times New Roman" w:cs="Times New Roman"/>
          <w:sz w:val="24"/>
          <w:szCs w:val="24"/>
        </w:rPr>
        <w:t>a olması ve teklif defterinde (f) ve (g</w:t>
      </w:r>
      <w:r w:rsidR="007E6742" w:rsidRPr="00E4115B">
        <w:rPr>
          <w:rFonts w:ascii="Times New Roman" w:hAnsi="Times New Roman" w:cs="Times New Roman"/>
          <w:sz w:val="24"/>
          <w:szCs w:val="24"/>
        </w:rPr>
        <w:t>) bentlerinde belirtilen süre ve fiyat kriterlerini sağlayan teklif bulunmaması halinde, ilgili eşleşmelerin miktar ağırlıklı ortalama fiyatı GGF olarak belirlenir.</w:t>
      </w:r>
    </w:p>
    <w:p w14:paraId="05D78BDB" w14:textId="77777777" w:rsidR="007E6742" w:rsidRPr="00E4115B" w:rsidRDefault="001822C2" w:rsidP="007966DB">
      <w:pPr>
        <w:spacing w:line="240" w:lineRule="auto"/>
        <w:jc w:val="both"/>
        <w:rPr>
          <w:rFonts w:ascii="Times New Roman" w:hAnsi="Times New Roman" w:cs="Times New Roman"/>
          <w:sz w:val="24"/>
          <w:szCs w:val="24"/>
        </w:rPr>
      </w:pPr>
      <w:r w:rsidRPr="00E4115B">
        <w:rPr>
          <w:rFonts w:ascii="Times New Roman" w:hAnsi="Times New Roman" w:cs="Times New Roman"/>
          <w:sz w:val="24"/>
          <w:szCs w:val="24"/>
        </w:rPr>
        <w:t>h</w:t>
      </w:r>
      <w:r w:rsidR="007E6742" w:rsidRPr="00E4115B">
        <w:rPr>
          <w:rFonts w:ascii="Times New Roman" w:hAnsi="Times New Roman" w:cs="Times New Roman"/>
          <w:sz w:val="24"/>
          <w:szCs w:val="24"/>
        </w:rPr>
        <w:t xml:space="preserve">. Seans içerisinde eşleşme gerçekleşmemişse, teklif defterinde en az 300 saniye yer alan en iyi alış ve satış tekliflerine ait fiyatların aritmetik ortalaması GGF olarak belirlenir. </w:t>
      </w:r>
    </w:p>
    <w:p w14:paraId="391D10EC" w14:textId="77777777" w:rsidR="007E6742" w:rsidRPr="00E4115B" w:rsidRDefault="001822C2" w:rsidP="007966DB">
      <w:pPr>
        <w:spacing w:line="240" w:lineRule="auto"/>
        <w:jc w:val="both"/>
        <w:rPr>
          <w:rFonts w:ascii="Times New Roman" w:hAnsi="Times New Roman" w:cs="Times New Roman"/>
          <w:sz w:val="24"/>
          <w:szCs w:val="24"/>
        </w:rPr>
      </w:pPr>
      <w:r w:rsidRPr="00E4115B">
        <w:rPr>
          <w:rFonts w:ascii="Times New Roman" w:hAnsi="Times New Roman" w:cs="Times New Roman"/>
          <w:sz w:val="24"/>
          <w:szCs w:val="24"/>
        </w:rPr>
        <w:t>ı</w:t>
      </w:r>
      <w:r w:rsidR="007E6742" w:rsidRPr="00E4115B">
        <w:rPr>
          <w:rFonts w:ascii="Times New Roman" w:hAnsi="Times New Roman" w:cs="Times New Roman"/>
          <w:sz w:val="24"/>
          <w:szCs w:val="24"/>
        </w:rPr>
        <w:t>. Seans içerisinde eşleşme gerçekleşmemesi ve teklif defterinde sadece tek yönlü teklif olması halinde, teklif defterinde en az 600 saniye süreyle aktif olarak yer alan en iyi alış/satış teklifleri dikkate alınarak aşağıdaki şekilde GGF belirlenir.</w:t>
      </w:r>
    </w:p>
    <w:p w14:paraId="2B1F08B3"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i. İlgili süre kriterini karşılayan alış yönlü en iyi teklifin fiyatı, en güncel GGF’den yüksek ise bu fiyat GGF olarak belirlenir.</w:t>
      </w:r>
    </w:p>
    <w:p w14:paraId="609D8222"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ii. İlgili süre kriterini karşılayan satış yönlü en iyi teklifin fiyatı, en güncel GGF’den düşük ise bu fiyat GGF olarak belirlenir.</w:t>
      </w:r>
    </w:p>
    <w:p w14:paraId="15963AA8" w14:textId="77777777"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i</w:t>
      </w:r>
      <w:r w:rsidR="007E6742" w:rsidRPr="00E4115B">
        <w:rPr>
          <w:rFonts w:ascii="Times New Roman" w:hAnsi="Times New Roman" w:cs="Times New Roman"/>
          <w:sz w:val="24"/>
          <w:szCs w:val="24"/>
        </w:rPr>
        <w:t>. 10.4.1 maddesinde belirtilen teorik fiyat yöntemine başvurulur.</w:t>
      </w:r>
    </w:p>
    <w:p w14:paraId="3F54EC83" w14:textId="77777777"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j</w:t>
      </w:r>
      <w:r w:rsidR="007E6742" w:rsidRPr="00E4115B">
        <w:rPr>
          <w:rFonts w:ascii="Times New Roman" w:hAnsi="Times New Roman" w:cs="Times New Roman"/>
          <w:sz w:val="24"/>
          <w:szCs w:val="24"/>
        </w:rPr>
        <w:t>. Kontrata ilişkin en güncel GGF, GGF olarak belirlenir.</w:t>
      </w:r>
    </w:p>
    <w:p w14:paraId="3802413F" w14:textId="77777777"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k</w:t>
      </w:r>
      <w:r w:rsidR="007E6742" w:rsidRPr="00E4115B">
        <w:rPr>
          <w:rFonts w:ascii="Times New Roman" w:hAnsi="Times New Roman" w:cs="Times New Roman"/>
          <w:sz w:val="24"/>
          <w:szCs w:val="24"/>
        </w:rPr>
        <w:t>. Kontrat işleme açıldığı ilk gün GGF belirleme adımlarında yer alan şartları karşılayan hiçbir teklif girilmezse ilk günün GGF’si baz fiyata eşit olur.</w:t>
      </w:r>
    </w:p>
    <w:p w14:paraId="498DD7B1" w14:textId="19A33420" w:rsidR="007E6742" w:rsidRPr="00E4115B" w:rsidRDefault="007E6742" w:rsidP="001822C2">
      <w:pPr>
        <w:pStyle w:val="Balk3"/>
        <w:ind w:left="0" w:hanging="11"/>
        <w:rPr>
          <w:b w:val="0"/>
        </w:rPr>
      </w:pPr>
      <w:r w:rsidRPr="00E4115B">
        <w:rPr>
          <w:b w:val="0"/>
        </w:rPr>
        <w:t>Bir kontratın GGF’sinin, söz konusu kontrat ile aynı gaz günlerini kapsayan diğer kontratlara ait GGF’lerin ağırlıklandırılmış ortalamasına eşit olması esastır. Ağırlıklandırılmış ortalama hesaplanırken ilgili kontratların gaz günü sayıları dikkate alınır.</w:t>
      </w:r>
    </w:p>
    <w:p w14:paraId="619877EB" w14:textId="559E0F5B" w:rsidR="007E6742" w:rsidRPr="00E4115B" w:rsidRDefault="007E6742" w:rsidP="001822C2">
      <w:pPr>
        <w:pStyle w:val="Balk3"/>
        <w:ind w:left="0" w:hanging="11"/>
        <w:rPr>
          <w:b w:val="0"/>
        </w:rPr>
      </w:pPr>
      <w:r w:rsidRPr="00E4115B">
        <w:rPr>
          <w:b w:val="0"/>
        </w:rPr>
        <w:t xml:space="preserve">Madde 10.3.3’teki eşitliğin sağlanmadığı durumlarda, ilgili kontratların GGF’lerinin eşitliğe uygun hale gelecek şekilde fiyatlar arasındaki farklılıkların giderilmesi amacıyla GGF düzeltme işlemi aşağıdaki şekilde yapılır. </w:t>
      </w:r>
    </w:p>
    <w:p w14:paraId="313D4B50" w14:textId="77777777" w:rsidR="007E6742" w:rsidRPr="00E4115B" w:rsidRDefault="007E6742" w:rsidP="007966DB">
      <w:pPr>
        <w:spacing w:after="0"/>
        <w:jc w:val="both"/>
        <w:rPr>
          <w:rFonts w:ascii="Times New Roman" w:hAnsi="Times New Roman" w:cs="Times New Roman"/>
          <w:sz w:val="24"/>
          <w:szCs w:val="24"/>
        </w:rPr>
      </w:pPr>
      <w:r w:rsidRPr="00E4115B">
        <w:rPr>
          <w:rFonts w:ascii="Times New Roman" w:hAnsi="Times New Roman" w:cs="Times New Roman"/>
          <w:sz w:val="24"/>
          <w:szCs w:val="24"/>
        </w:rPr>
        <w:lastRenderedPageBreak/>
        <w:t>a. GGF düzeltme işleminin, düzeltme işlemi uygulanan kontratların gaz günü sayıları göz önünde bulundurularak, toplam GGF değişim oranlarının minimum olacak şekilde yapılması esastır.</w:t>
      </w:r>
    </w:p>
    <w:p w14:paraId="177F06D8" w14:textId="77777777" w:rsidR="007E6742" w:rsidRPr="00E4115B" w:rsidRDefault="007E6742" w:rsidP="007966DB">
      <w:pPr>
        <w:spacing w:after="0"/>
        <w:jc w:val="both"/>
        <w:rPr>
          <w:rFonts w:ascii="Times New Roman" w:hAnsi="Times New Roman" w:cs="Times New Roman"/>
          <w:sz w:val="24"/>
          <w:szCs w:val="24"/>
        </w:rPr>
      </w:pPr>
      <w:r w:rsidRPr="00E4115B">
        <w:rPr>
          <w:rFonts w:ascii="Times New Roman" w:hAnsi="Times New Roman" w:cs="Times New Roman"/>
          <w:sz w:val="24"/>
          <w:szCs w:val="24"/>
        </w:rPr>
        <w:t>b. GGF düzeltme işlemi, 10.3.3 maddesindeki eşitlikleri sağlamak şartıyla, GGF düzeltme optimizasyon algoritmasıyla, ağırlıklandırılmış GGF sapması toplamının en düşüğünü elde edecek şekilde yapılır. Ağırlıklandırılmış GGF sapması toplamı; GGF düzeltme işlemi öncesi her bir kontratın GGF’si ile düzeltilmiş GGF’si arasındaki farkın karesinin, teslimat dönemindeki uzlaştırma dönemi sayısı ve GGF değişim maliyeti katsayısı çarpımlarının toplamıdır.</w:t>
      </w:r>
    </w:p>
    <w:p w14:paraId="7F364A95" w14:textId="5B4AE82C"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c. GGF düzeltme işlemi, öncelik</w:t>
      </w:r>
      <w:r w:rsidR="00044390">
        <w:rPr>
          <w:rFonts w:ascii="Times New Roman" w:hAnsi="Times New Roman" w:cs="Times New Roman"/>
          <w:sz w:val="24"/>
          <w:szCs w:val="24"/>
        </w:rPr>
        <w:t>li olarak 10.3.2 maddesindeki (i), (j</w:t>
      </w:r>
      <w:r w:rsidRPr="00E4115B">
        <w:rPr>
          <w:rFonts w:ascii="Times New Roman" w:hAnsi="Times New Roman" w:cs="Times New Roman"/>
          <w:sz w:val="24"/>
          <w:szCs w:val="24"/>
        </w:rPr>
        <w:t>), (</w:t>
      </w:r>
      <w:r w:rsidR="00044390">
        <w:rPr>
          <w:rFonts w:ascii="Times New Roman" w:hAnsi="Times New Roman" w:cs="Times New Roman"/>
          <w:sz w:val="24"/>
          <w:szCs w:val="24"/>
        </w:rPr>
        <w:t>k)</w:t>
      </w:r>
      <w:r w:rsidRPr="00E4115B">
        <w:rPr>
          <w:rFonts w:ascii="Times New Roman" w:hAnsi="Times New Roman" w:cs="Times New Roman"/>
          <w:sz w:val="24"/>
          <w:szCs w:val="24"/>
        </w:rPr>
        <w:t xml:space="preserve"> bentleriyle belirlenen GGF’lere uygulanır.</w:t>
      </w:r>
    </w:p>
    <w:p w14:paraId="60D82638" w14:textId="77777777"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7E6742" w:rsidRPr="00E4115B">
        <w:rPr>
          <w:rFonts w:ascii="Times New Roman" w:hAnsi="Times New Roman" w:cs="Times New Roman"/>
          <w:sz w:val="24"/>
          <w:szCs w:val="24"/>
        </w:rPr>
        <w:t>. GGF değişim maliyeti katsayısı 10.3.2 maddesindeki adımlara aşağıdaki şekilde uygulanır.</w:t>
      </w:r>
    </w:p>
    <w:p w14:paraId="5F3F285B"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i. (a) bendi ile belirlenen GGF’ler için 1.000.000</w:t>
      </w:r>
      <w:r w:rsidR="001822C2" w:rsidRPr="00E4115B">
        <w:rPr>
          <w:rFonts w:ascii="Times New Roman" w:hAnsi="Times New Roman" w:cs="Times New Roman"/>
          <w:sz w:val="24"/>
          <w:szCs w:val="24"/>
        </w:rPr>
        <w:t>.</w:t>
      </w:r>
    </w:p>
    <w:p w14:paraId="14FC081F" w14:textId="71D965B9" w:rsidR="007E6742" w:rsidRPr="00E4115B" w:rsidRDefault="00044390" w:rsidP="001822C2">
      <w:pPr>
        <w:ind w:firstLine="708"/>
        <w:jc w:val="both"/>
        <w:rPr>
          <w:rFonts w:ascii="Times New Roman" w:hAnsi="Times New Roman" w:cs="Times New Roman"/>
          <w:sz w:val="24"/>
          <w:szCs w:val="24"/>
        </w:rPr>
      </w:pPr>
      <w:r>
        <w:rPr>
          <w:rFonts w:ascii="Times New Roman" w:hAnsi="Times New Roman" w:cs="Times New Roman"/>
          <w:sz w:val="24"/>
          <w:szCs w:val="24"/>
        </w:rPr>
        <w:t>ii. (b) veya (c) veya (ç) veya (d</w:t>
      </w:r>
      <w:r w:rsidR="007E6742" w:rsidRPr="00E4115B">
        <w:rPr>
          <w:rFonts w:ascii="Times New Roman" w:hAnsi="Times New Roman" w:cs="Times New Roman"/>
          <w:sz w:val="24"/>
          <w:szCs w:val="24"/>
        </w:rPr>
        <w:t>) bendi ile belirlenen GGF’ler için 100.000</w:t>
      </w:r>
      <w:r w:rsidR="001822C2" w:rsidRPr="00E4115B">
        <w:rPr>
          <w:rFonts w:ascii="Times New Roman" w:hAnsi="Times New Roman" w:cs="Times New Roman"/>
          <w:sz w:val="24"/>
          <w:szCs w:val="24"/>
        </w:rPr>
        <w:t>.</w:t>
      </w:r>
    </w:p>
    <w:p w14:paraId="23D057AB" w14:textId="784C5A18" w:rsidR="007E6742" w:rsidRPr="00E4115B" w:rsidRDefault="00044390" w:rsidP="001822C2">
      <w:pPr>
        <w:ind w:firstLine="708"/>
        <w:jc w:val="both"/>
        <w:rPr>
          <w:rFonts w:ascii="Times New Roman" w:hAnsi="Times New Roman" w:cs="Times New Roman"/>
          <w:sz w:val="24"/>
          <w:szCs w:val="24"/>
        </w:rPr>
      </w:pPr>
      <w:r>
        <w:rPr>
          <w:rFonts w:ascii="Times New Roman" w:hAnsi="Times New Roman" w:cs="Times New Roman"/>
          <w:sz w:val="24"/>
          <w:szCs w:val="24"/>
        </w:rPr>
        <w:t>iii. (e) veya (f) veya (g) veya (ğ</w:t>
      </w:r>
      <w:r w:rsidR="007E6742" w:rsidRPr="00E4115B">
        <w:rPr>
          <w:rFonts w:ascii="Times New Roman" w:hAnsi="Times New Roman" w:cs="Times New Roman"/>
          <w:sz w:val="24"/>
          <w:szCs w:val="24"/>
        </w:rPr>
        <w:t>) bendi ile belirlenen GGF’ler için 10.000</w:t>
      </w:r>
      <w:r w:rsidR="001822C2" w:rsidRPr="00E4115B">
        <w:rPr>
          <w:rFonts w:ascii="Times New Roman" w:hAnsi="Times New Roman" w:cs="Times New Roman"/>
          <w:sz w:val="24"/>
          <w:szCs w:val="24"/>
        </w:rPr>
        <w:t>.</w:t>
      </w:r>
    </w:p>
    <w:p w14:paraId="0ABFFCC3" w14:textId="0105DA11" w:rsidR="007E6742" w:rsidRPr="00E4115B" w:rsidRDefault="00044390" w:rsidP="001822C2">
      <w:pPr>
        <w:ind w:firstLine="708"/>
        <w:jc w:val="both"/>
        <w:rPr>
          <w:rFonts w:ascii="Times New Roman" w:hAnsi="Times New Roman" w:cs="Times New Roman"/>
          <w:sz w:val="24"/>
          <w:szCs w:val="24"/>
        </w:rPr>
      </w:pPr>
      <w:r>
        <w:rPr>
          <w:rFonts w:ascii="Times New Roman" w:hAnsi="Times New Roman" w:cs="Times New Roman"/>
          <w:sz w:val="24"/>
          <w:szCs w:val="24"/>
        </w:rPr>
        <w:t>iv.  (h) veya (ı</w:t>
      </w:r>
      <w:r w:rsidR="007E6742" w:rsidRPr="00E4115B">
        <w:rPr>
          <w:rFonts w:ascii="Times New Roman" w:hAnsi="Times New Roman" w:cs="Times New Roman"/>
          <w:sz w:val="24"/>
          <w:szCs w:val="24"/>
        </w:rPr>
        <w:t>) bendi ile belirlenen GGF’ler için 1.000</w:t>
      </w:r>
      <w:r w:rsidR="001822C2" w:rsidRPr="00E4115B">
        <w:rPr>
          <w:rFonts w:ascii="Times New Roman" w:hAnsi="Times New Roman" w:cs="Times New Roman"/>
          <w:sz w:val="24"/>
          <w:szCs w:val="24"/>
        </w:rPr>
        <w:t>.</w:t>
      </w:r>
    </w:p>
    <w:p w14:paraId="02507CD1" w14:textId="5F65E5A4" w:rsidR="007E6742" w:rsidRPr="00E4115B" w:rsidRDefault="00044390" w:rsidP="001822C2">
      <w:pPr>
        <w:ind w:firstLine="708"/>
        <w:jc w:val="both"/>
        <w:rPr>
          <w:rFonts w:ascii="Times New Roman" w:hAnsi="Times New Roman" w:cs="Times New Roman"/>
          <w:sz w:val="24"/>
          <w:szCs w:val="24"/>
        </w:rPr>
      </w:pPr>
      <w:r>
        <w:rPr>
          <w:rFonts w:ascii="Times New Roman" w:hAnsi="Times New Roman" w:cs="Times New Roman"/>
          <w:sz w:val="24"/>
          <w:szCs w:val="24"/>
        </w:rPr>
        <w:t>v. (i) veya (j) veya (k</w:t>
      </w:r>
      <w:r w:rsidR="007E6742" w:rsidRPr="00E4115B">
        <w:rPr>
          <w:rFonts w:ascii="Times New Roman" w:hAnsi="Times New Roman" w:cs="Times New Roman"/>
          <w:sz w:val="24"/>
          <w:szCs w:val="24"/>
        </w:rPr>
        <w:t>) bendi ile belirlenen GGF’ler için 1</w:t>
      </w:r>
      <w:r w:rsidR="001822C2" w:rsidRPr="00E4115B">
        <w:rPr>
          <w:rFonts w:ascii="Times New Roman" w:hAnsi="Times New Roman" w:cs="Times New Roman"/>
          <w:sz w:val="24"/>
          <w:szCs w:val="24"/>
        </w:rPr>
        <w:t>.</w:t>
      </w:r>
    </w:p>
    <w:p w14:paraId="64D10556" w14:textId="77777777" w:rsidR="007E6742" w:rsidRPr="00E4115B" w:rsidRDefault="007E6742" w:rsidP="00AB23F7">
      <w:pPr>
        <w:pStyle w:val="Balk3"/>
        <w:rPr>
          <w:b w:val="0"/>
        </w:rPr>
      </w:pPr>
      <w:r w:rsidRPr="00E4115B">
        <w:rPr>
          <w:b w:val="0"/>
        </w:rPr>
        <w:t>Hesaplanan GGF en yakın fiyat adımına yuvarlanır.</w:t>
      </w:r>
    </w:p>
    <w:p w14:paraId="41C6A2EA" w14:textId="77777777" w:rsidR="007E6742" w:rsidRPr="00E4115B" w:rsidRDefault="007E6742" w:rsidP="00AB23F7">
      <w:pPr>
        <w:pStyle w:val="Balk2"/>
      </w:pPr>
      <w:bookmarkStart w:id="58" w:name="_Toc64755950"/>
      <w:r w:rsidRPr="00E4115B">
        <w:t>Teorik Fiyat Yöntemi</w:t>
      </w:r>
      <w:bookmarkEnd w:id="58"/>
    </w:p>
    <w:p w14:paraId="7C64C059" w14:textId="59D27640" w:rsidR="007E6742" w:rsidRPr="00E4115B" w:rsidRDefault="007E6742" w:rsidP="00AB23F7">
      <w:pPr>
        <w:pStyle w:val="Balk3"/>
        <w:ind w:left="0" w:hanging="11"/>
        <w:rPr>
          <w:b w:val="0"/>
        </w:rPr>
      </w:pPr>
      <w:r w:rsidRPr="00E4115B">
        <w:rPr>
          <w:b w:val="0"/>
        </w:rPr>
        <w:t>Bir kontrata ilişkin olarak GGF hesaplanamaması durumunda, varsa ilgili kontrat ile aynı gaz günlerini kapsayan diğer kontratlara ait GGF’ler dikkate alınarak söz konusu kontratın teorik fiyatı hesaplanır.</w:t>
      </w:r>
    </w:p>
    <w:p w14:paraId="40341244"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Birbirleriyle tam örtüşme sağlayan kontratların GGF’lerinden herhangi birinin hesaplanamaması durumunda aşağıdaki eşitlik uyarınca eksik olan GGF değeri hesaplanır.</w:t>
      </w:r>
    </w:p>
    <w:p w14:paraId="28AD7EF7" w14:textId="77777777" w:rsidR="007E6742" w:rsidRPr="00E4115B" w:rsidRDefault="00F92C1E" w:rsidP="00C63473">
      <w:pPr>
        <w:jc w:val="both"/>
        <w:rPr>
          <w:rFonts w:ascii="Times New Roman" w:hAnsi="Times New Roman" w:cs="Times New Roman"/>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GGF</m:t>
              </m:r>
            </m:e>
            <m:sub>
              <m:r>
                <m:rPr>
                  <m:sty m:val="p"/>
                </m:rPr>
                <w:rPr>
                  <w:rFonts w:ascii="Cambria Math" w:hAnsi="Cambria Math" w:cs="Times New Roman"/>
                  <w:sz w:val="24"/>
                  <w:szCs w:val="24"/>
                </w:rPr>
                <m:t>t,d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nary>
            <m:naryPr>
              <m:chr m:val="∑"/>
              <m:supHide m:val="1"/>
              <m:ctrlPr>
                <w:rPr>
                  <w:rFonts w:ascii="Cambria Math" w:hAnsi="Cambria Math" w:cs="Times New Roman"/>
                  <w:iCs/>
                  <w:sz w:val="24"/>
                  <w:szCs w:val="24"/>
                </w:rPr>
              </m:ctrlPr>
            </m:naryPr>
            <m:sub>
              <m:r>
                <m:rPr>
                  <m:sty m:val="p"/>
                </m:rPr>
                <w:rPr>
                  <w:rFonts w:ascii="Cambria Math" w:hAnsi="Cambria Math" w:cs="Times New Roman"/>
                  <w:sz w:val="24"/>
                  <w:szCs w:val="24"/>
                </w:rPr>
                <m:t>s∈</m:t>
              </m:r>
              <m:sSub>
                <m:sSubPr>
                  <m:ctrlPr>
                    <w:rPr>
                      <w:rFonts w:ascii="Cambria Math" w:hAnsi="Cambria Math" w:cs="Times New Roman"/>
                      <w:iCs/>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t</m:t>
                  </m:r>
                </m:sub>
              </m:sSub>
            </m:sub>
            <m:sup/>
            <m:e>
              <m:sSub>
                <m:sSubPr>
                  <m:ctrlPr>
                    <w:rPr>
                      <w:rFonts w:ascii="Cambria Math" w:hAnsi="Cambria Math" w:cs="Times New Roman"/>
                      <w:iCs/>
                      <w:sz w:val="24"/>
                      <w:szCs w:val="24"/>
                    </w:rPr>
                  </m:ctrlPr>
                </m:sSubPr>
                <m:e>
                  <m:r>
                    <m:rPr>
                      <m:sty m:val="p"/>
                    </m:rPr>
                    <w:rPr>
                      <w:rFonts w:ascii="Cambria Math" w:hAnsi="Cambria Math" w:cs="Times New Roman"/>
                      <w:sz w:val="24"/>
                      <w:szCs w:val="24"/>
                    </w:rPr>
                    <m:t>GGF</m:t>
                  </m:r>
                </m:e>
                <m:sub>
                  <m:r>
                    <m:rPr>
                      <m:sty m:val="p"/>
                    </m:rPr>
                    <w:rPr>
                      <w:rFonts w:ascii="Cambria Math" w:hAnsi="Cambria Math" w:cs="Times New Roman"/>
                      <w:sz w:val="24"/>
                      <w:szCs w:val="24"/>
                    </w:rPr>
                    <m:t>s,d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s</m:t>
                  </m:r>
                </m:sub>
              </m:sSub>
            </m:e>
          </m:nary>
        </m:oMath>
      </m:oMathPara>
    </w:p>
    <w:p w14:paraId="22EC8F6A"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Yukarıdaki formülde geçen; </w:t>
      </w:r>
    </w:p>
    <w:p w14:paraId="6846AC7F"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GGF</w:t>
      </w:r>
      <w:r w:rsidRPr="00E4115B">
        <w:rPr>
          <w:rFonts w:ascii="Times New Roman" w:hAnsi="Times New Roman" w:cs="Times New Roman"/>
          <w:sz w:val="24"/>
          <w:szCs w:val="24"/>
          <w:vertAlign w:val="subscript"/>
        </w:rPr>
        <w:t>t,d</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“t” teslimat dönemli kontratın “d” günündeki GGF’sini ya da baz fiyatını (TL/1000Sm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w:t>
      </w:r>
    </w:p>
    <w:p w14:paraId="7A547FEA"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 KGS</w:t>
      </w:r>
      <w:r w:rsidRPr="00E4115B">
        <w:rPr>
          <w:rFonts w:ascii="Times New Roman" w:hAnsi="Times New Roman" w:cs="Times New Roman"/>
          <w:sz w:val="24"/>
          <w:szCs w:val="24"/>
          <w:vertAlign w:val="subscript"/>
        </w:rPr>
        <w:t>t</w:t>
      </w:r>
      <w:r w:rsidRPr="00E4115B">
        <w:rPr>
          <w:rFonts w:ascii="Times New Roman" w:hAnsi="Times New Roman" w:cs="Times New Roman"/>
          <w:sz w:val="24"/>
          <w:szCs w:val="24"/>
        </w:rPr>
        <w:tab/>
        <w:t>:</w:t>
      </w:r>
      <w:r w:rsidRPr="00E4115B">
        <w:rPr>
          <w:rFonts w:ascii="Times New Roman" w:hAnsi="Times New Roman" w:cs="Times New Roman"/>
          <w:sz w:val="24"/>
          <w:szCs w:val="24"/>
        </w:rPr>
        <w:tab/>
        <w:t>“t” teslimat dönemli kontratın teslimat dönemindeki gaz günü sayısını,</w:t>
      </w:r>
    </w:p>
    <w:p w14:paraId="16BC36E9"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s</w:t>
      </w:r>
      <w:r w:rsidRPr="00E4115B">
        <w:rPr>
          <w:rFonts w:ascii="Times New Roman" w:hAnsi="Times New Roman" w:cs="Times New Roman"/>
          <w:sz w:val="24"/>
          <w:szCs w:val="24"/>
        </w:rPr>
        <w:tab/>
        <w:t>:</w:t>
      </w:r>
      <w:r w:rsidRPr="00E4115B">
        <w:rPr>
          <w:rFonts w:ascii="Times New Roman" w:hAnsi="Times New Roman" w:cs="Times New Roman"/>
          <w:sz w:val="24"/>
          <w:szCs w:val="24"/>
        </w:rPr>
        <w:tab/>
        <w:t>“s” teslimat dönemli kontratın teslimat dönemindeki gaz günü sayısını,</w:t>
      </w:r>
    </w:p>
    <w:p w14:paraId="4D9348B5"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GGF</w:t>
      </w:r>
      <w:r w:rsidRPr="00E4115B">
        <w:rPr>
          <w:rFonts w:ascii="Times New Roman" w:hAnsi="Times New Roman" w:cs="Times New Roman"/>
          <w:sz w:val="24"/>
          <w:szCs w:val="24"/>
          <w:vertAlign w:val="subscript"/>
        </w:rPr>
        <w:t>s,d</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“s” teslimat dönemli kontratın “d” günündeki GGF’sini ya da baz fiyatını (TL/1000Sm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w:t>
      </w:r>
    </w:p>
    <w:p w14:paraId="26592D35"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S</w:t>
      </w:r>
      <w:r w:rsidRPr="00E4115B">
        <w:rPr>
          <w:rFonts w:ascii="Times New Roman" w:hAnsi="Times New Roman" w:cs="Times New Roman"/>
          <w:sz w:val="24"/>
          <w:szCs w:val="24"/>
          <w:vertAlign w:val="subscript"/>
        </w:rPr>
        <w:t>t</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“t” teslimat dönemli kontrat ile en az sayıda kontratla tam örtüşme sağlayan kontratlar kümesini </w:t>
      </w:r>
    </w:p>
    <w:p w14:paraId="0CA74246" w14:textId="06ADCB0F" w:rsidR="007E6742" w:rsidRPr="007966D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r w:rsidRPr="00E4115B">
        <w:rPr>
          <w:rFonts w:ascii="Times New Roman" w:hAnsi="Times New Roman" w:cs="Times New Roman"/>
          <w:color w:val="FF0000"/>
          <w:sz w:val="24"/>
          <w:szCs w:val="24"/>
        </w:rPr>
        <w:tab/>
      </w:r>
    </w:p>
    <w:p w14:paraId="07A63300" w14:textId="77777777" w:rsidR="007E6742" w:rsidRPr="00E4115B" w:rsidRDefault="007E6742" w:rsidP="00AB23F7">
      <w:pPr>
        <w:pStyle w:val="Balk3"/>
        <w:rPr>
          <w:b w:val="0"/>
        </w:rPr>
      </w:pPr>
      <w:r w:rsidRPr="00E4115B">
        <w:rPr>
          <w:b w:val="0"/>
        </w:rPr>
        <w:lastRenderedPageBreak/>
        <w:t>Aylık kontratlar için baz fiyat aşağıdaki formüle göre belirlenir.</w:t>
      </w:r>
    </w:p>
    <w:p w14:paraId="0DFF49FD" w14:textId="77777777" w:rsidR="007E6742" w:rsidRPr="00E4115B" w:rsidRDefault="00F92C1E" w:rsidP="00C63473">
      <w:pPr>
        <w:jc w:val="both"/>
        <w:rPr>
          <w:rFonts w:ascii="Times New Roman" w:eastAsiaTheme="minorEastAsia"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BF</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RF</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d>
            <m:dPr>
              <m:ctrlPr>
                <w:rPr>
                  <w:rFonts w:ascii="Cambria Math" w:hAnsi="Cambria Math" w:cs="Times New Roman"/>
                  <w:iCs/>
                  <w:sz w:val="24"/>
                  <w:szCs w:val="24"/>
                </w:rPr>
              </m:ctrlPr>
            </m:dPr>
            <m:e>
              <m:r>
                <m:rPr>
                  <m:sty m:val="p"/>
                </m:rPr>
                <w:rPr>
                  <w:rFonts w:ascii="Cambria Math" w:hAnsi="Cambria Math" w:cs="Times New Roman"/>
                  <w:sz w:val="24"/>
                  <w:szCs w:val="24"/>
                </w:rPr>
                <m:t>BK×</m:t>
              </m:r>
              <m:sSub>
                <m:sSubPr>
                  <m:ctrlPr>
                    <w:rPr>
                      <w:rFonts w:ascii="Cambria Math" w:hAnsi="Cambria Math" w:cs="Times New Roman"/>
                      <w:iCs/>
                      <w:sz w:val="24"/>
                      <w:szCs w:val="24"/>
                    </w:rPr>
                  </m:ctrlPr>
                </m:sSubPr>
                <m:e>
                  <m:r>
                    <m:rPr>
                      <m:sty m:val="p"/>
                    </m:rPr>
                    <w:rPr>
                      <w:rFonts w:ascii="Cambria Math" w:hAnsi="Cambria Math" w:cs="Times New Roman"/>
                      <w:sz w:val="24"/>
                      <w:szCs w:val="24"/>
                    </w:rPr>
                    <m:t>BÇ</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+TTFK×</m:t>
              </m:r>
              <m:sSub>
                <m:sSubPr>
                  <m:ctrlPr>
                    <w:rPr>
                      <w:rFonts w:ascii="Cambria Math" w:hAnsi="Cambria Math" w:cs="Times New Roman"/>
                      <w:iCs/>
                      <w:sz w:val="24"/>
                      <w:szCs w:val="24"/>
                    </w:rPr>
                  </m:ctrlPr>
                </m:sSubPr>
                <m:e>
                  <m:r>
                    <m:rPr>
                      <m:sty m:val="p"/>
                    </m:rPr>
                    <w:rPr>
                      <w:rFonts w:ascii="Cambria Math" w:hAnsi="Cambria Math" w:cs="Times New Roman"/>
                      <w:sz w:val="24"/>
                      <w:szCs w:val="24"/>
                    </w:rPr>
                    <m:t>TTFÇ</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+HHK×</m:t>
              </m:r>
              <m:sSub>
                <m:sSubPr>
                  <m:ctrlPr>
                    <w:rPr>
                      <w:rFonts w:ascii="Cambria Math" w:hAnsi="Cambria Math" w:cs="Times New Roman"/>
                      <w:iCs/>
                      <w:sz w:val="24"/>
                      <w:szCs w:val="24"/>
                    </w:rPr>
                  </m:ctrlPr>
                </m:sSubPr>
                <m:e>
                  <m:r>
                    <m:rPr>
                      <m:sty m:val="p"/>
                    </m:rPr>
                    <w:rPr>
                      <w:rFonts w:ascii="Cambria Math" w:hAnsi="Cambria Math" w:cs="Times New Roman"/>
                      <w:sz w:val="24"/>
                      <w:szCs w:val="24"/>
                    </w:rPr>
                    <m:t>HHÇ</m:t>
                  </m:r>
                </m:e>
                <m:sub>
                  <m:r>
                    <m:rPr>
                      <m:sty m:val="p"/>
                    </m:rPr>
                    <w:rPr>
                      <w:rFonts w:ascii="Cambria Math" w:hAnsi="Cambria Math" w:cs="Times New Roman"/>
                      <w:sz w:val="24"/>
                      <w:szCs w:val="24"/>
                    </w:rPr>
                    <m:t>i</m:t>
                  </m:r>
                </m:sub>
              </m:sSub>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KÇ</m:t>
              </m:r>
            </m:e>
            <m:sub>
              <m:r>
                <m:rPr>
                  <m:sty m:val="p"/>
                </m:rPr>
                <w:rPr>
                  <w:rFonts w:ascii="Cambria Math" w:hAnsi="Cambria Math" w:cs="Times New Roman"/>
                  <w:sz w:val="24"/>
                  <w:szCs w:val="24"/>
                </w:rPr>
                <m:t>i</m:t>
              </m:r>
            </m:sub>
          </m:sSub>
        </m:oMath>
      </m:oMathPara>
    </w:p>
    <w:p w14:paraId="6F5B2807"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Yukarıdaki formülde geçen; </w:t>
      </w:r>
    </w:p>
    <w:p w14:paraId="171B89F5"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BF</w:t>
      </w:r>
      <w:r w:rsidRPr="00E4115B">
        <w:rPr>
          <w:rFonts w:ascii="Times New Roman" w:hAnsi="Times New Roman" w:cs="Times New Roman"/>
          <w:sz w:val="24"/>
          <w:szCs w:val="24"/>
          <w:vertAlign w:val="subscript"/>
        </w:rPr>
        <w:t>i</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i aylık kontratı için hesaplanan baz fiyatı,</w:t>
      </w:r>
    </w:p>
    <w:p w14:paraId="168847C2"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RF</w:t>
      </w:r>
      <w:r w:rsidRPr="00E4115B">
        <w:rPr>
          <w:rFonts w:ascii="Times New Roman" w:hAnsi="Times New Roman" w:cs="Times New Roman"/>
          <w:sz w:val="24"/>
          <w:szCs w:val="24"/>
          <w:vertAlign w:val="subscript"/>
        </w:rPr>
        <w:t>i</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Referans dönemine ilişkin gaz günleri için STP’de ilan edilen GRF’lerin aritmetik ortalamasını,</w:t>
      </w:r>
    </w:p>
    <w:p w14:paraId="0535A975"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BK   :</w:t>
      </w:r>
      <w:r w:rsidRPr="00E4115B">
        <w:rPr>
          <w:rFonts w:ascii="Times New Roman" w:hAnsi="Times New Roman" w:cs="Times New Roman"/>
          <w:sz w:val="24"/>
          <w:szCs w:val="24"/>
        </w:rPr>
        <w:tab/>
        <w:t>Brent çarpanının formüldeki ağırlığını,</w:t>
      </w:r>
    </w:p>
    <w:p w14:paraId="76B2A805"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BÇ</w:t>
      </w:r>
      <w:r w:rsidRPr="00E4115B">
        <w:rPr>
          <w:rFonts w:ascii="Times New Roman" w:hAnsi="Times New Roman" w:cs="Times New Roman"/>
          <w:sz w:val="24"/>
          <w:szCs w:val="24"/>
          <w:vertAlign w:val="subscript"/>
        </w:rPr>
        <w:t>i</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Baz fiyat hesaplanan i ayının ilişkili olduğu Brent petrol fiyatının, referans fiyatın oluştuğu dönemin ilişkili olduğu Brent petrol fiyatına oranını,</w:t>
      </w:r>
    </w:p>
    <w:p w14:paraId="3EE4C2B3"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TTFK</w:t>
      </w:r>
      <w:r w:rsidRPr="00E4115B">
        <w:rPr>
          <w:rFonts w:ascii="Times New Roman" w:hAnsi="Times New Roman" w:cs="Times New Roman"/>
          <w:sz w:val="24"/>
          <w:szCs w:val="24"/>
        </w:rPr>
        <w:tab/>
        <w:t xml:space="preserve">:  Hollanda Sanal Ticaret Noktası (TTF) çarpanının formüldeki ağırlığını, </w:t>
      </w:r>
    </w:p>
    <w:p w14:paraId="690E22AB"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TTFÇ</w:t>
      </w:r>
      <w:r w:rsidRPr="00E4115B">
        <w:rPr>
          <w:rFonts w:ascii="Times New Roman" w:hAnsi="Times New Roman" w:cs="Times New Roman"/>
          <w:sz w:val="24"/>
          <w:szCs w:val="24"/>
          <w:vertAlign w:val="subscript"/>
        </w:rPr>
        <w:t>i</w:t>
      </w:r>
      <w:r w:rsidRPr="00E4115B">
        <w:rPr>
          <w:rFonts w:ascii="Times New Roman" w:hAnsi="Times New Roman" w:cs="Times New Roman"/>
          <w:sz w:val="24"/>
          <w:szCs w:val="24"/>
        </w:rPr>
        <w:tab/>
        <w:t>:  Baz fiyat hesaplanan i ayına ilişkin TTF ticaret noktası için ilan edilen en güncel uzlaştırma fiyatının, referans dönemine ilişkin TTF ticaret noktası için işlem gören kontratın son işlem ayındaki uzlaştırma fiyatlarının aritmetik ortalamasına oranını,</w:t>
      </w:r>
    </w:p>
    <w:p w14:paraId="5E54EB90"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HHK</w:t>
      </w:r>
      <w:r w:rsidRPr="00E4115B">
        <w:rPr>
          <w:rFonts w:ascii="Times New Roman" w:hAnsi="Times New Roman" w:cs="Times New Roman"/>
          <w:sz w:val="24"/>
          <w:szCs w:val="24"/>
        </w:rPr>
        <w:tab/>
        <w:t xml:space="preserve">:  HenryHub Ticaret Noktası çarpanının formüldeki ağırlığını, </w:t>
      </w:r>
    </w:p>
    <w:p w14:paraId="7ADDCD4C"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HHÇ</w:t>
      </w:r>
      <w:r w:rsidRPr="00E4115B">
        <w:rPr>
          <w:rFonts w:ascii="Times New Roman" w:hAnsi="Times New Roman" w:cs="Times New Roman"/>
          <w:sz w:val="24"/>
          <w:szCs w:val="24"/>
          <w:vertAlign w:val="subscript"/>
        </w:rPr>
        <w:t>i</w:t>
      </w:r>
      <w:r w:rsidRPr="00E4115B">
        <w:rPr>
          <w:rFonts w:ascii="Times New Roman" w:hAnsi="Times New Roman" w:cs="Times New Roman"/>
          <w:sz w:val="24"/>
          <w:szCs w:val="24"/>
        </w:rPr>
        <w:tab/>
        <w:t>:  Baz fiyat hesaplanan i ayına ilişkin HenryHub ticaret noktası için ilan edilen en güncel uzlaştırma fiyatının, referans dönemine ilişkin HenryHub ticaret noktası için işlem gören kontratın son işlem ayındaki uzlaştırma fiyatlarının aritmetik ortalamasına oranını,</w:t>
      </w:r>
    </w:p>
    <w:p w14:paraId="2A19E295"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KÇ</w:t>
      </w:r>
      <w:r w:rsidRPr="00E4115B">
        <w:rPr>
          <w:rFonts w:ascii="Times New Roman" w:hAnsi="Times New Roman" w:cs="Times New Roman"/>
          <w:sz w:val="24"/>
          <w:szCs w:val="24"/>
          <w:vertAlign w:val="subscript"/>
        </w:rPr>
        <w:t>i</w:t>
      </w:r>
      <w:r w:rsidRPr="00E4115B">
        <w:rPr>
          <w:rFonts w:ascii="Times New Roman" w:hAnsi="Times New Roman" w:cs="Times New Roman"/>
          <w:sz w:val="24"/>
          <w:szCs w:val="24"/>
        </w:rPr>
        <w:tab/>
        <w:t>:  Baz fiyat hesaplanan i ayına ilişkin Borsa İstanbul Vadeli İşlem ve Opsiyon Piyasasında (VİOP) işlem gören USDTRY kontratının hesaplama tarihi itibariyle en güncel uzlaştırma fiyatının, referans fiyatın oluştuğu dönemde TCMB tarafından ilan edilen USDTRY alış kuru aritmetik ortalamasına oranını,</w:t>
      </w:r>
    </w:p>
    <w:p w14:paraId="3E163F47"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Referans dönem: Baz fiyat hesaplaması yapılan günden önceki en yakın ayı,</w:t>
      </w:r>
    </w:p>
    <w:p w14:paraId="768655C4"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67AA0BFF" w14:textId="77777777" w:rsidR="007E6742" w:rsidRPr="00E4115B" w:rsidRDefault="007E6742" w:rsidP="00AB23F7">
      <w:pPr>
        <w:pStyle w:val="Balk3"/>
        <w:ind w:left="0" w:hanging="11"/>
        <w:rPr>
          <w:b w:val="0"/>
        </w:rPr>
      </w:pPr>
      <w:r w:rsidRPr="00E4115B">
        <w:rPr>
          <w:b w:val="0"/>
        </w:rPr>
        <w:t>Brent Çarpanı hesaplamasında kullanılan Brent Petrol fiyatı, aşağıdaki adımlar dikkate alınarak belirlenir.</w:t>
      </w:r>
    </w:p>
    <w:p w14:paraId="019B213D" w14:textId="77777777" w:rsidR="007E6742" w:rsidRPr="004A35D9" w:rsidRDefault="007E6742" w:rsidP="00C63473">
      <w:pPr>
        <w:jc w:val="both"/>
        <w:rPr>
          <w:rFonts w:ascii="Times New Roman" w:hAnsi="Times New Roman" w:cs="Times New Roman"/>
          <w:sz w:val="24"/>
          <w:szCs w:val="24"/>
        </w:rPr>
      </w:pPr>
      <w:r w:rsidRPr="004A35D9">
        <w:rPr>
          <w:rFonts w:ascii="Times New Roman" w:hAnsi="Times New Roman" w:cs="Times New Roman"/>
          <w:sz w:val="24"/>
          <w:szCs w:val="24"/>
        </w:rPr>
        <w:t xml:space="preserve">a. Baz fiyat hesaplaması yapılan her bir kontrat, teslimat yükümlülüğü getirdiği dönemin öncesindeki üç çeyrekte işlem gören/görecek en yakın ay Brent Petrol kontratı ile ilişkilidir. </w:t>
      </w:r>
    </w:p>
    <w:p w14:paraId="3756CE58" w14:textId="77777777" w:rsidR="007E6742" w:rsidRPr="004A35D9" w:rsidRDefault="007E6742" w:rsidP="00C63473">
      <w:pPr>
        <w:jc w:val="both"/>
        <w:rPr>
          <w:rFonts w:ascii="Times New Roman" w:hAnsi="Times New Roman" w:cs="Times New Roman"/>
          <w:sz w:val="24"/>
          <w:szCs w:val="24"/>
        </w:rPr>
      </w:pPr>
      <w:r w:rsidRPr="004A35D9">
        <w:rPr>
          <w:rFonts w:ascii="Times New Roman" w:hAnsi="Times New Roman" w:cs="Times New Roman"/>
          <w:sz w:val="24"/>
          <w:szCs w:val="24"/>
        </w:rPr>
        <w:t>b. İlgili üç çeyrekteki her bir ayda işlem gören en yakın ay kontratlarının aritmetik ortalaması alınır.</w:t>
      </w:r>
    </w:p>
    <w:p w14:paraId="1836CDC1" w14:textId="77777777" w:rsidR="007E6742" w:rsidRPr="004A35D9" w:rsidRDefault="007E6742" w:rsidP="00C63473">
      <w:pPr>
        <w:jc w:val="both"/>
        <w:rPr>
          <w:rFonts w:ascii="Times New Roman" w:hAnsi="Times New Roman" w:cs="Times New Roman"/>
          <w:sz w:val="24"/>
          <w:szCs w:val="24"/>
        </w:rPr>
      </w:pPr>
      <w:r w:rsidRPr="004A35D9">
        <w:rPr>
          <w:rFonts w:ascii="Times New Roman" w:hAnsi="Times New Roman" w:cs="Times New Roman"/>
          <w:sz w:val="24"/>
          <w:szCs w:val="24"/>
        </w:rPr>
        <w:t>c. İlgili üç çeyrekteki her bir ayda işlem görecek en yakın ay kontratlarının hesaplama tarihi itibariyle en güncel uzlaştırma fiyatı alınır.</w:t>
      </w:r>
    </w:p>
    <w:p w14:paraId="09802482" w14:textId="4E98F85A" w:rsidR="007E6742" w:rsidRPr="004A35D9" w:rsidRDefault="00044390" w:rsidP="00C63473">
      <w:pPr>
        <w:jc w:val="both"/>
        <w:rPr>
          <w:rFonts w:ascii="Times New Roman" w:hAnsi="Times New Roman" w:cs="Times New Roman"/>
          <w:sz w:val="24"/>
          <w:szCs w:val="24"/>
        </w:rPr>
      </w:pPr>
      <w:r>
        <w:rPr>
          <w:rFonts w:ascii="Times New Roman" w:hAnsi="Times New Roman" w:cs="Times New Roman"/>
          <w:sz w:val="24"/>
          <w:szCs w:val="24"/>
        </w:rPr>
        <w:t>ç</w:t>
      </w:r>
      <w:r w:rsidR="007E6742" w:rsidRPr="004A35D9">
        <w:rPr>
          <w:rFonts w:ascii="Times New Roman" w:hAnsi="Times New Roman" w:cs="Times New Roman"/>
          <w:sz w:val="24"/>
          <w:szCs w:val="24"/>
        </w:rPr>
        <w:t>. (b) ve (c) bentlerinde belirlenen 9 aylık veri, ayların kapsadığı gün sayısına göre ağırlıklandırılarak ortalaması alınır.</w:t>
      </w:r>
    </w:p>
    <w:p w14:paraId="26F41B0D" w14:textId="77777777" w:rsidR="007E6742" w:rsidRPr="00E4115B" w:rsidRDefault="007E6742" w:rsidP="00AB23F7">
      <w:pPr>
        <w:pStyle w:val="Balk3"/>
        <w:ind w:left="0" w:hanging="11"/>
        <w:rPr>
          <w:color w:val="FF0000"/>
          <w:u w:val="single"/>
        </w:rPr>
      </w:pPr>
      <w:r w:rsidRPr="00E4115B">
        <w:rPr>
          <w:rStyle w:val="Balk3Char"/>
        </w:rPr>
        <w:t>Hesaplama yapılan kontratın kapsadığı dönemle ilgili VİOP’ta işlem gören bir USDTRY kontratı bulunmaması halinde, hesaplama tarihinde VİOP’ta işlem gören aylık</w:t>
      </w:r>
      <w:r w:rsidR="00AB23F7" w:rsidRPr="00E4115B">
        <w:rPr>
          <w:color w:val="FF0000"/>
          <w:u w:val="single"/>
        </w:rPr>
        <w:t xml:space="preserve"> </w:t>
      </w:r>
      <w:r w:rsidRPr="00E4115B">
        <w:rPr>
          <w:b w:val="0"/>
        </w:rPr>
        <w:lastRenderedPageBreak/>
        <w:t>kontratlar arasındaki fiyat değişim oranlarının medyan değeri dikkate alınarak kontrata ilişkin kur değeri belirlenir.</w:t>
      </w:r>
    </w:p>
    <w:p w14:paraId="7DBE7EC9" w14:textId="77777777" w:rsidR="007E6742" w:rsidRPr="00E4115B" w:rsidRDefault="007E6742" w:rsidP="00AB23F7">
      <w:pPr>
        <w:pStyle w:val="Balk3"/>
        <w:ind w:left="0" w:hanging="11"/>
        <w:rPr>
          <w:b w:val="0"/>
        </w:rPr>
      </w:pPr>
      <w:r w:rsidRPr="00E4115B">
        <w:rPr>
          <w:b w:val="0"/>
        </w:rPr>
        <w:t xml:space="preserve">Çeyreklik ve yıllık kontratlar için baz fiyat, ilgili kontratın fiziksel dönemi içerisinde yer alan aylık kontratlar için 10.4.2 maddesine göre belirlenen baz fiyatların, ayların kapsadıkları gün sayısının dikkate alınması suretiyle ağırlıklı ortalamaları alınarak hesaplanır. </w:t>
      </w:r>
    </w:p>
    <w:p w14:paraId="1012E6A6" w14:textId="77777777" w:rsidR="007E6742" w:rsidRPr="00E4115B" w:rsidRDefault="007E6742" w:rsidP="00AB23F7">
      <w:pPr>
        <w:pStyle w:val="Balk3"/>
        <w:ind w:left="0" w:hanging="11"/>
        <w:rPr>
          <w:b w:val="0"/>
        </w:rPr>
      </w:pPr>
      <w:r w:rsidRPr="00E4115B">
        <w:rPr>
          <w:b w:val="0"/>
        </w:rPr>
        <w:t>Hesaplamalarda kullanılan Brent Petrol ve TTF kontrat verileri Intercontinental Exchange (ICE) platformundan, Henry Hub Kontrat verileri Chicago Mercantile Exchange (CME) Group platformundan elde edilir.</w:t>
      </w:r>
    </w:p>
    <w:p w14:paraId="40272B12" w14:textId="77777777" w:rsidR="007E6742" w:rsidRPr="00E4115B" w:rsidRDefault="007E6742" w:rsidP="00AB23F7">
      <w:pPr>
        <w:pStyle w:val="Balk2"/>
      </w:pPr>
      <w:bookmarkStart w:id="59" w:name="_Toc64755951"/>
      <w:r w:rsidRPr="00E4115B">
        <w:t>Günlük Fiyat Değişim Limitleri</w:t>
      </w:r>
      <w:bookmarkEnd w:id="59"/>
    </w:p>
    <w:p w14:paraId="39AC374B" w14:textId="77777777" w:rsidR="007E6742" w:rsidRPr="00E4115B" w:rsidRDefault="007E6742" w:rsidP="00AB23F7">
      <w:pPr>
        <w:pStyle w:val="Balk3"/>
        <w:ind w:left="0" w:hanging="11"/>
        <w:rPr>
          <w:b w:val="0"/>
        </w:rPr>
      </w:pPr>
      <w:r w:rsidRPr="00E4115B">
        <w:rPr>
          <w:b w:val="0"/>
        </w:rPr>
        <w:t>Günlük fiyat değişim limiti, piyasa işletmecisi tarafından belirlenir ve STP aracılığıyla ilan edilir.</w:t>
      </w:r>
    </w:p>
    <w:p w14:paraId="1ED2055A" w14:textId="77777777" w:rsidR="007E6742" w:rsidRPr="00E4115B" w:rsidRDefault="007E6742" w:rsidP="00AB23F7">
      <w:pPr>
        <w:pStyle w:val="Balk3"/>
        <w:ind w:left="0" w:hanging="11"/>
        <w:rPr>
          <w:b w:val="0"/>
        </w:rPr>
      </w:pPr>
      <w:r w:rsidRPr="00E4115B">
        <w:rPr>
          <w:b w:val="0"/>
        </w:rPr>
        <w:t xml:space="preserve">Günlük fiyat değişim limiti, işleme açık olan kontratlar için açılış fiyatı üzerinden belirlenen günlük fiyat değişimidir. </w:t>
      </w:r>
    </w:p>
    <w:p w14:paraId="7A23FDA5" w14:textId="77777777" w:rsidR="007E6742" w:rsidRPr="00E4115B" w:rsidRDefault="007E6742" w:rsidP="00AB23F7">
      <w:pPr>
        <w:pStyle w:val="Balk3"/>
        <w:ind w:left="0" w:hanging="11"/>
        <w:rPr>
          <w:b w:val="0"/>
        </w:rPr>
      </w:pPr>
      <w:r w:rsidRPr="00E4115B">
        <w:rPr>
          <w:b w:val="0"/>
        </w:rPr>
        <w:t xml:space="preserve">Günlük fiyat değişim oranı, artış veya azalış yönünde açılış fiyatının %5’idir. </w:t>
      </w:r>
    </w:p>
    <w:p w14:paraId="51C6ACBC" w14:textId="09D8B50B" w:rsidR="00AB23F7" w:rsidRDefault="007E6742" w:rsidP="003D757E">
      <w:pPr>
        <w:pStyle w:val="Balk3"/>
        <w:ind w:left="0" w:hanging="11"/>
        <w:rPr>
          <w:b w:val="0"/>
        </w:rPr>
      </w:pPr>
      <w:r w:rsidRPr="00E4115B">
        <w:rPr>
          <w:b w:val="0"/>
        </w:rPr>
        <w:t>PUE’nin 11.1 maddesinde belirtilen olağandışı durumların ortaya çıkması halinde ilgili hükümler uyarınca günlük fiyat değişim oranı, piyasa işletmecisi tarafından seans öncesinde veya seans içerisinde seans ve/veya kontrat bazında değiştirilebilir. Söz konusu değişiklik piyasa katılımcılarına duyurulur. Piyasa koşulları çerçevesinde gerekli görülmesi halinde ise, bu maddede bildirilen şartlar piyasa katılımcılarına en az 2 iş günü öncesinden bildirilmesi şartıyla uygulanabilir.</w:t>
      </w:r>
    </w:p>
    <w:p w14:paraId="4DDD83A2" w14:textId="77777777" w:rsidR="007E6742" w:rsidRPr="00E4115B" w:rsidRDefault="007E6742" w:rsidP="004A35D9">
      <w:pPr>
        <w:pStyle w:val="Balk1"/>
      </w:pPr>
      <w:bookmarkStart w:id="60" w:name="_Toc64755952"/>
      <w:r w:rsidRPr="00E4115B">
        <w:t>POZİSYON LİMİTLERİ</w:t>
      </w:r>
      <w:bookmarkEnd w:id="60"/>
    </w:p>
    <w:p w14:paraId="460FC7CD" w14:textId="77777777" w:rsidR="007E6742" w:rsidRPr="00E4115B" w:rsidRDefault="007E6742" w:rsidP="00AB23F7">
      <w:pPr>
        <w:pStyle w:val="Balk2"/>
      </w:pPr>
      <w:bookmarkStart w:id="61" w:name="_Toc64755953"/>
      <w:bookmarkStart w:id="62" w:name="_Toc64755954"/>
      <w:bookmarkEnd w:id="61"/>
      <w:r w:rsidRPr="00E4115B">
        <w:t>Piyasa Pozisyon Limiti</w:t>
      </w:r>
      <w:bookmarkEnd w:id="62"/>
    </w:p>
    <w:p w14:paraId="6670D72A" w14:textId="77777777" w:rsidR="007E6742" w:rsidRPr="00E4115B" w:rsidRDefault="007E6742" w:rsidP="00AB23F7">
      <w:pPr>
        <w:pStyle w:val="Balk3"/>
        <w:ind w:left="0" w:hanging="11"/>
        <w:rPr>
          <w:b w:val="0"/>
        </w:rPr>
      </w:pPr>
      <w:r w:rsidRPr="00E4115B">
        <w:rPr>
          <w:b w:val="0"/>
        </w:rPr>
        <w:t>VGP’de, “piyasa pozisyon limiti” işlem miktarlarına göre piyasa katılımcılarının pozisyonlarının değerlendirilmesi için bir kriter olarak kullanılır.</w:t>
      </w:r>
    </w:p>
    <w:p w14:paraId="11FB6258" w14:textId="77777777" w:rsidR="007E6742" w:rsidRPr="00E4115B" w:rsidRDefault="007E6742" w:rsidP="00AB23F7">
      <w:pPr>
        <w:pStyle w:val="Balk3"/>
        <w:ind w:left="0" w:hanging="11"/>
        <w:rPr>
          <w:b w:val="0"/>
        </w:rPr>
      </w:pPr>
      <w:r w:rsidRPr="00E4115B">
        <w:rPr>
          <w:b w:val="0"/>
        </w:rPr>
        <w:t>Piyasa pozisyon limiti, tüm kontratlar için piyasadaki kısa veya uzun açık pozisyonların herhangi birinin toplamıdır.</w:t>
      </w:r>
    </w:p>
    <w:p w14:paraId="73F875A6" w14:textId="77777777" w:rsidR="007E6742" w:rsidRPr="00E4115B" w:rsidRDefault="007E6742" w:rsidP="00AB23F7">
      <w:pPr>
        <w:pStyle w:val="Balk3"/>
        <w:ind w:left="0" w:hanging="11"/>
        <w:rPr>
          <w:b w:val="0"/>
        </w:rPr>
      </w:pPr>
      <w:r w:rsidRPr="00E4115B">
        <w:rPr>
          <w:b w:val="0"/>
        </w:rPr>
        <w:t>Piyasa pozisyon limitinin hesaplanması aşağıdaki adımlardan oluşur;</w:t>
      </w:r>
    </w:p>
    <w:p w14:paraId="1DC65D8A"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a. Türkiye doğal gaz piyasasının geçmiş 3 yılı içerisinde gerçekleştirilen tüketim miktarının ortalamasının yüzde 5 fazlasının dörtte biri kadar açık pozisyon oluşturulabilecek miktar, her bir yıl için piyasa pozisyon limiti olarak hesaplanır. </w:t>
      </w:r>
    </w:p>
    <w:p w14:paraId="5DFF30E7"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Aylık piyasa pozisyon limitleri belirlenirken yıllık piyasa pozisyon limitleri dikkate alınır. EPDK’nın Doğal Gaz Piyasası Yıllık Sektör Raporu’nda yer alan en güncel üç yıla ait aylık tüketim miktarlarına göre profillendirilerek, her bir ay için günlük pozisyon limitleri hesaplanır. </w:t>
      </w:r>
    </w:p>
    <w:p w14:paraId="2203E97C" w14:textId="1B4E494A" w:rsidR="007E6742"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c. Her yıl Kasım ayı sonuna kadar, takip eden iki yıla ait Piyasa Pozisyon Limitleri hesaplanarak STP’de duyurulur.</w:t>
      </w:r>
    </w:p>
    <w:p w14:paraId="255E67B6" w14:textId="77777777" w:rsidR="007966DB" w:rsidRPr="00E4115B" w:rsidRDefault="007966DB" w:rsidP="00C63473">
      <w:pPr>
        <w:jc w:val="both"/>
        <w:rPr>
          <w:rFonts w:ascii="Times New Roman" w:hAnsi="Times New Roman" w:cs="Times New Roman"/>
          <w:sz w:val="24"/>
          <w:szCs w:val="24"/>
        </w:rPr>
      </w:pPr>
    </w:p>
    <w:p w14:paraId="091141AF" w14:textId="77777777" w:rsidR="007E6742" w:rsidRPr="00E4115B" w:rsidRDefault="007E6742" w:rsidP="00AB23F7">
      <w:pPr>
        <w:pStyle w:val="Balk2"/>
      </w:pPr>
      <w:bookmarkStart w:id="63" w:name="_Toc64755955"/>
      <w:r w:rsidRPr="00E4115B">
        <w:lastRenderedPageBreak/>
        <w:t>Katılımcı Pozisyon Limitleri</w:t>
      </w:r>
      <w:bookmarkEnd w:id="63"/>
    </w:p>
    <w:p w14:paraId="7611870D" w14:textId="77777777" w:rsidR="007E6742" w:rsidRPr="00E4115B" w:rsidRDefault="007E6742" w:rsidP="00AB23F7">
      <w:pPr>
        <w:pStyle w:val="Balk3"/>
        <w:ind w:left="0" w:hanging="11"/>
        <w:rPr>
          <w:b w:val="0"/>
        </w:rPr>
      </w:pPr>
      <w:r w:rsidRPr="00E4115B">
        <w:rPr>
          <w:b w:val="0"/>
        </w:rPr>
        <w:t>Piyasa işletmecisi tarafından işletilen ve dengesizliklerin uzlaştırması yapılan doğal gaz piyasasında ilk kez işlem yapacak piyasa katılımcılarının pozisyon limiti; 500.000 Sm</w:t>
      </w:r>
      <w:r w:rsidRPr="00E4115B">
        <w:rPr>
          <w:b w:val="0"/>
          <w:vertAlign w:val="superscript"/>
        </w:rPr>
        <w:t>3</w:t>
      </w:r>
      <w:r w:rsidRPr="00E4115B">
        <w:rPr>
          <w:b w:val="0"/>
        </w:rPr>
        <w:t>/gün’dür.</w:t>
      </w:r>
    </w:p>
    <w:p w14:paraId="1976EB92" w14:textId="77777777" w:rsidR="007E6742" w:rsidRPr="00E4115B" w:rsidRDefault="007E6742" w:rsidP="00AB23F7">
      <w:pPr>
        <w:pStyle w:val="Balk3"/>
        <w:ind w:left="0" w:hanging="11"/>
        <w:rPr>
          <w:b w:val="0"/>
        </w:rPr>
      </w:pPr>
      <w:r w:rsidRPr="00E4115B">
        <w:rPr>
          <w:b w:val="0"/>
        </w:rPr>
        <w:t>Piyasa işletmecisi tarafından işletilen ve dengesizliklerin uzlaştırması yapılan doğal gaz piyasasında hâlihazırda işlem yapan piyasa katılımcıları için hesaplanacak pozisyon limitleri aşağıdaki formüllere göre hesaplanır;</w:t>
      </w:r>
    </w:p>
    <w:p w14:paraId="0237FE9C" w14:textId="77777777" w:rsidR="007E6742" w:rsidRPr="00E4115B" w:rsidRDefault="00F92C1E" w:rsidP="00C63473">
      <w:pPr>
        <w:spacing w:after="240"/>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PL</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=maksimum⁡(500.000;PPL×</m:t>
          </m:r>
          <m:sSub>
            <m:sSubPr>
              <m:ctrlPr>
                <w:rPr>
                  <w:rFonts w:ascii="Cambria Math" w:hAnsi="Cambria Math" w:cs="Times New Roman"/>
                  <w:iCs/>
                  <w:sz w:val="24"/>
                  <w:szCs w:val="24"/>
                </w:rPr>
              </m:ctrlPr>
            </m:sSubPr>
            <m:e>
              <m:r>
                <m:rPr>
                  <m:sty m:val="p"/>
                </m:rPr>
                <w:rPr>
                  <w:rFonts w:ascii="Cambria Math" w:hAnsi="Cambria Math" w:cs="Times New Roman"/>
                  <w:sz w:val="24"/>
                  <w:szCs w:val="24"/>
                </w:rPr>
                <m:t>PLO</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oMath>
      </m:oMathPara>
    </w:p>
    <w:p w14:paraId="392F4D7C" w14:textId="77777777" w:rsidR="007E6742" w:rsidRPr="00E4115B" w:rsidRDefault="00F92C1E"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PLO</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m:t>
                  </m:r>
                </m:sub>
              </m:sSub>
            </m:num>
            <m:den>
              <m:r>
                <m:rPr>
                  <m:sty m:val="p"/>
                </m:rPr>
                <w:rPr>
                  <w:rFonts w:ascii="Cambria Math" w:hAnsi="Cambria Math" w:cs="Times New Roman"/>
                  <w:sz w:val="24"/>
                  <w:szCs w:val="24"/>
                </w:rPr>
                <m:t>TM</m:t>
              </m:r>
            </m:den>
          </m:f>
        </m:oMath>
      </m:oMathPara>
    </w:p>
    <w:p w14:paraId="66BC6B55" w14:textId="77777777" w:rsidR="007E6742" w:rsidRPr="00E4115B" w:rsidRDefault="007E6742" w:rsidP="00C63473">
      <w:pPr>
        <w:jc w:val="both"/>
        <w:rPr>
          <w:rFonts w:ascii="Times New Roman" w:hAnsi="Times New Roman" w:cs="Times New Roman"/>
          <w:iCs/>
          <w:sz w:val="24"/>
          <w:szCs w:val="24"/>
        </w:rPr>
      </w:pPr>
      <m:oMathPara>
        <m:oMathParaPr>
          <m:jc m:val="left"/>
        </m:oMathParaPr>
        <m:oMath>
          <m:r>
            <m:rPr>
              <m:nor/>
            </m:rPr>
            <w:rPr>
              <w:rFonts w:ascii="Times New Roman" w:hAnsi="Times New Roman" w:cs="Times New Roman"/>
              <w:iCs/>
              <w:sz w:val="24"/>
              <w:szCs w:val="24"/>
            </w:rPr>
            <m:t>TM=</m:t>
          </m:r>
          <m:nary>
            <m:naryPr>
              <m:chr m:val="∑"/>
              <m:ctrlPr>
                <w:rPr>
                  <w:rFonts w:ascii="Cambria Math" w:hAnsi="Cambria Math" w:cs="Times New Roman"/>
                  <w:iCs/>
                  <w:sz w:val="24"/>
                  <w:szCs w:val="24"/>
                </w:rPr>
              </m:ctrlPr>
            </m:naryPr>
            <m:sub>
              <m:r>
                <m:rPr>
                  <m:sty m:val="p"/>
                </m:rPr>
                <w:rPr>
                  <w:rFonts w:ascii="Cambria Math" w:hAnsi="Cambria Math" w:cs="Times New Roman"/>
                  <w:sz w:val="24"/>
                  <w:szCs w:val="24"/>
                </w:rPr>
                <m:t>p=1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m:t>
                  </m:r>
                </m:sub>
              </m:sSub>
            </m:e>
          </m:nary>
        </m:oMath>
      </m:oMathPara>
    </w:p>
    <w:p w14:paraId="656E9230" w14:textId="77777777" w:rsidR="007E6742" w:rsidRPr="00E4115B" w:rsidRDefault="00F92C1E" w:rsidP="00C63473">
      <w:pPr>
        <w:jc w:val="both"/>
        <w:rPr>
          <w:rFonts w:ascii="Times New Roman" w:eastAsiaTheme="minorEastAsia"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FG</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STPAM</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TG</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VGPAM</m:t>
              </m:r>
            </m:e>
            <m:sub>
              <m:r>
                <m:rPr>
                  <m:sty m:val="p"/>
                </m:rPr>
                <w:rPr>
                  <w:rFonts w:ascii="Cambria Math" w:hAnsi="Cambria Math" w:cs="Times New Roman"/>
                  <w:sz w:val="24"/>
                  <w:szCs w:val="24"/>
                </w:rPr>
                <m:t>p</m:t>
              </m: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+FÇ</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STPSM</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TÇ</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VGPSM</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d>
            <m:dPr>
              <m:ctrlPr>
                <w:rPr>
                  <w:rFonts w:ascii="Cambria Math" w:hAnsi="Cambria Math" w:cs="Times New Roman"/>
                  <w:iCs/>
                  <w:sz w:val="24"/>
                  <w:szCs w:val="24"/>
                </w:rPr>
              </m:ctrlPr>
            </m:dPr>
            <m:e>
              <m:d>
                <m:dPr>
                  <m:begChr m:val="|"/>
                  <m:endChr m:val="|"/>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UDNG</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UDNÇ</m:t>
                      </m:r>
                    </m:e>
                    <m:sub>
                      <m:r>
                        <m:rPr>
                          <m:sty m:val="p"/>
                        </m:rPr>
                        <w:rPr>
                          <w:rFonts w:ascii="Cambria Math" w:hAnsi="Cambria Math" w:cs="Times New Roman"/>
                          <w:sz w:val="24"/>
                          <w:szCs w:val="24"/>
                        </w:rPr>
                        <m:t>p</m:t>
                      </m:r>
                    </m:sub>
                  </m:sSub>
                </m:e>
              </m:d>
            </m:e>
          </m:d>
        </m:oMath>
      </m:oMathPara>
    </w:p>
    <w:p w14:paraId="5DEB345F" w14:textId="77777777" w:rsidR="007E6742" w:rsidRPr="00E4115B" w:rsidRDefault="007E6742" w:rsidP="00C63473">
      <w:pPr>
        <w:jc w:val="both"/>
        <w:rPr>
          <w:rFonts w:ascii="Times New Roman" w:eastAsiaTheme="minorEastAsia" w:hAnsi="Times New Roman" w:cs="Times New Roman"/>
          <w:iCs/>
          <w:sz w:val="24"/>
          <w:szCs w:val="24"/>
        </w:rPr>
      </w:pPr>
    </w:p>
    <w:p w14:paraId="234500CC" w14:textId="77777777" w:rsidR="007E6742" w:rsidRPr="00E4115B" w:rsidRDefault="007E6742" w:rsidP="00C63473">
      <w:pPr>
        <w:jc w:val="both"/>
        <w:rPr>
          <w:rFonts w:ascii="Times New Roman" w:eastAsiaTheme="minorEastAsia" w:hAnsi="Times New Roman" w:cs="Times New Roman"/>
          <w:iCs/>
          <w:sz w:val="24"/>
          <w:szCs w:val="24"/>
        </w:rPr>
      </w:pPr>
      <w:r w:rsidRPr="00E4115B">
        <w:rPr>
          <w:rFonts w:ascii="Times New Roman" w:eastAsiaTheme="minorEastAsia" w:hAnsi="Times New Roman" w:cs="Times New Roman"/>
          <w:iCs/>
          <w:sz w:val="24"/>
          <w:szCs w:val="24"/>
        </w:rPr>
        <w:t>Yukarıdaki formüllerde geçen;</w:t>
      </w:r>
    </w:p>
    <w:p w14:paraId="293C553F" w14:textId="77777777" w:rsidR="007E6742" w:rsidRPr="00E4115B" w:rsidRDefault="007E6742" w:rsidP="00C63473">
      <w:pPr>
        <w:jc w:val="both"/>
        <w:rPr>
          <w:rFonts w:ascii="Times New Roman" w:eastAsiaTheme="minorEastAsia" w:hAnsi="Times New Roman" w:cs="Times New Roman"/>
          <w:iCs/>
          <w:sz w:val="24"/>
          <w:szCs w:val="24"/>
        </w:rPr>
      </w:pPr>
      <w:r w:rsidRPr="00E4115B">
        <w:rPr>
          <w:rFonts w:ascii="Times New Roman" w:eastAsiaTheme="minorEastAsia" w:hAnsi="Times New Roman" w:cs="Times New Roman"/>
          <w:iCs/>
          <w:sz w:val="24"/>
          <w:szCs w:val="24"/>
        </w:rPr>
        <w:t>M</w:t>
      </w:r>
      <w:r w:rsidRPr="00E4115B">
        <w:rPr>
          <w:rFonts w:ascii="Times New Roman" w:eastAsiaTheme="minorEastAsia" w:hAnsi="Times New Roman" w:cs="Times New Roman"/>
          <w:iCs/>
          <w:sz w:val="24"/>
          <w:szCs w:val="24"/>
          <w:vertAlign w:val="subscript"/>
        </w:rPr>
        <w:t>p</w:t>
      </w:r>
      <w:r w:rsidRPr="00E4115B">
        <w:rPr>
          <w:rFonts w:ascii="Times New Roman" w:eastAsiaTheme="minorEastAsia" w:hAnsi="Times New Roman" w:cs="Times New Roman"/>
          <w:iCs/>
          <w:sz w:val="24"/>
          <w:szCs w:val="24"/>
        </w:rPr>
        <w:t xml:space="preserve">  :</w:t>
      </w:r>
      <w:r w:rsidRPr="00E4115B">
        <w:rPr>
          <w:rFonts w:ascii="Times New Roman" w:eastAsiaTheme="minorEastAsia" w:hAnsi="Times New Roman" w:cs="Times New Roman"/>
          <w:iCs/>
          <w:sz w:val="24"/>
          <w:szCs w:val="24"/>
        </w:rPr>
        <w:tab/>
        <w:t>“p” piyasa katılımcısının piyasa pozisyon limiti hesabında kullanılacak değeri (Sm</w:t>
      </w:r>
      <w:r w:rsidRPr="00E4115B">
        <w:rPr>
          <w:rFonts w:ascii="Times New Roman" w:eastAsiaTheme="minorEastAsia" w:hAnsi="Times New Roman" w:cs="Times New Roman"/>
          <w:iCs/>
          <w:sz w:val="24"/>
          <w:szCs w:val="24"/>
          <w:vertAlign w:val="superscript"/>
        </w:rPr>
        <w:t>3</w:t>
      </w:r>
      <w:r w:rsidRPr="00E4115B">
        <w:rPr>
          <w:rFonts w:ascii="Times New Roman" w:eastAsiaTheme="minorEastAsia" w:hAnsi="Times New Roman" w:cs="Times New Roman"/>
          <w:iCs/>
          <w:sz w:val="24"/>
          <w:szCs w:val="24"/>
        </w:rPr>
        <w:t>),</w:t>
      </w:r>
    </w:p>
    <w:p w14:paraId="0A9F2223" w14:textId="77777777" w:rsidR="007E6742" w:rsidRPr="00E4115B" w:rsidRDefault="007E6742" w:rsidP="00C63473">
      <w:pPr>
        <w:jc w:val="both"/>
        <w:rPr>
          <w:rFonts w:ascii="Times New Roman" w:eastAsiaTheme="minorEastAsia" w:hAnsi="Times New Roman" w:cs="Times New Roman"/>
          <w:iCs/>
          <w:sz w:val="24"/>
          <w:szCs w:val="24"/>
        </w:rPr>
      </w:pPr>
      <w:r w:rsidRPr="00E4115B">
        <w:rPr>
          <w:rFonts w:ascii="Times New Roman" w:eastAsiaTheme="minorEastAsia" w:hAnsi="Times New Roman" w:cs="Times New Roman"/>
          <w:iCs/>
          <w:sz w:val="24"/>
          <w:szCs w:val="24"/>
        </w:rPr>
        <w:t>PL</w:t>
      </w:r>
      <w:r w:rsidRPr="00E4115B">
        <w:rPr>
          <w:rFonts w:ascii="Times New Roman" w:eastAsiaTheme="minorEastAsia" w:hAnsi="Times New Roman" w:cs="Times New Roman"/>
          <w:iCs/>
          <w:sz w:val="24"/>
          <w:szCs w:val="24"/>
          <w:vertAlign w:val="subscript"/>
        </w:rPr>
        <w:t>p</w:t>
      </w:r>
      <w:r w:rsidRPr="00E4115B">
        <w:rPr>
          <w:rFonts w:ascii="Times New Roman" w:eastAsiaTheme="minorEastAsia" w:hAnsi="Times New Roman" w:cs="Times New Roman"/>
          <w:iCs/>
          <w:sz w:val="24"/>
          <w:szCs w:val="24"/>
        </w:rPr>
        <w:t xml:space="preserve">  :</w:t>
      </w:r>
      <w:r w:rsidRPr="00E4115B">
        <w:rPr>
          <w:rFonts w:ascii="Times New Roman" w:eastAsiaTheme="minorEastAsia" w:hAnsi="Times New Roman" w:cs="Times New Roman"/>
          <w:iCs/>
          <w:sz w:val="24"/>
          <w:szCs w:val="24"/>
        </w:rPr>
        <w:tab/>
        <w:t>“p” piyasa katılımcısının pozisyon limitini,</w:t>
      </w:r>
    </w:p>
    <w:p w14:paraId="15ED60CC" w14:textId="77777777" w:rsidR="007E6742" w:rsidRPr="00E4115B" w:rsidRDefault="007E6742" w:rsidP="00C63473">
      <w:pPr>
        <w:jc w:val="both"/>
        <w:rPr>
          <w:rFonts w:ascii="Times New Roman" w:eastAsiaTheme="minorEastAsia" w:hAnsi="Times New Roman" w:cs="Times New Roman"/>
          <w:iCs/>
          <w:sz w:val="24"/>
          <w:szCs w:val="24"/>
        </w:rPr>
      </w:pPr>
      <w:r w:rsidRPr="00E4115B">
        <w:rPr>
          <w:rFonts w:ascii="Times New Roman" w:eastAsiaTheme="minorEastAsia" w:hAnsi="Times New Roman" w:cs="Times New Roman"/>
          <w:iCs/>
          <w:sz w:val="24"/>
          <w:szCs w:val="24"/>
        </w:rPr>
        <w:t>PPL :</w:t>
      </w:r>
      <w:r w:rsidRPr="00E4115B">
        <w:rPr>
          <w:rFonts w:ascii="Times New Roman" w:eastAsiaTheme="minorEastAsia" w:hAnsi="Times New Roman" w:cs="Times New Roman"/>
          <w:iCs/>
          <w:sz w:val="24"/>
          <w:szCs w:val="24"/>
        </w:rPr>
        <w:tab/>
        <w:t>11.1 maddesi uyarınca belirlenen toplam piyasa pozisyon limitini,</w:t>
      </w:r>
    </w:p>
    <w:p w14:paraId="4EA741E8" w14:textId="77777777" w:rsidR="007E6742" w:rsidRPr="00E4115B" w:rsidRDefault="007E6742" w:rsidP="00C63473">
      <w:pPr>
        <w:jc w:val="both"/>
        <w:rPr>
          <w:rFonts w:ascii="Times New Roman" w:eastAsiaTheme="minorEastAsia" w:hAnsi="Times New Roman" w:cs="Times New Roman"/>
          <w:iCs/>
          <w:sz w:val="24"/>
          <w:szCs w:val="24"/>
        </w:rPr>
      </w:pPr>
      <w:r w:rsidRPr="00E4115B">
        <w:rPr>
          <w:rFonts w:ascii="Times New Roman" w:eastAsiaTheme="minorEastAsia" w:hAnsi="Times New Roman" w:cs="Times New Roman"/>
          <w:iCs/>
          <w:sz w:val="24"/>
          <w:szCs w:val="24"/>
        </w:rPr>
        <w:t>PLO</w:t>
      </w:r>
      <w:r w:rsidRPr="00E4115B">
        <w:rPr>
          <w:rFonts w:ascii="Times New Roman" w:eastAsiaTheme="minorEastAsia" w:hAnsi="Times New Roman" w:cs="Times New Roman"/>
          <w:iCs/>
          <w:sz w:val="24"/>
          <w:szCs w:val="24"/>
          <w:vertAlign w:val="subscript"/>
        </w:rPr>
        <w:t xml:space="preserve">p </w:t>
      </w:r>
      <w:r w:rsidRPr="00E4115B">
        <w:rPr>
          <w:rFonts w:ascii="Times New Roman" w:eastAsiaTheme="minorEastAsia" w:hAnsi="Times New Roman" w:cs="Times New Roman"/>
          <w:iCs/>
          <w:sz w:val="24"/>
          <w:szCs w:val="24"/>
          <w:vertAlign w:val="subscript"/>
        </w:rPr>
        <w:tab/>
      </w:r>
      <w:r w:rsidRPr="00E4115B">
        <w:rPr>
          <w:rFonts w:ascii="Times New Roman" w:eastAsiaTheme="minorEastAsia" w:hAnsi="Times New Roman" w:cs="Times New Roman"/>
          <w:iCs/>
          <w:sz w:val="24"/>
          <w:szCs w:val="24"/>
        </w:rPr>
        <w:t>:</w:t>
      </w:r>
      <w:r w:rsidRPr="00E4115B">
        <w:rPr>
          <w:rFonts w:ascii="Times New Roman" w:eastAsiaTheme="minorEastAsia" w:hAnsi="Times New Roman" w:cs="Times New Roman"/>
          <w:iCs/>
          <w:sz w:val="24"/>
          <w:szCs w:val="24"/>
        </w:rPr>
        <w:tab/>
        <w:t>“p” piyasa katılımcısının pozisyon limiti oranını,</w:t>
      </w:r>
    </w:p>
    <w:p w14:paraId="01984C48" w14:textId="77777777" w:rsidR="007E6742" w:rsidRPr="00E4115B" w:rsidRDefault="007E6742" w:rsidP="00C63473">
      <w:pPr>
        <w:jc w:val="both"/>
        <w:rPr>
          <w:rFonts w:ascii="Times New Roman" w:eastAsiaTheme="minorEastAsia" w:hAnsi="Times New Roman" w:cs="Times New Roman"/>
          <w:iCs/>
          <w:sz w:val="24"/>
          <w:szCs w:val="24"/>
        </w:rPr>
      </w:pPr>
      <w:r w:rsidRPr="00E4115B">
        <w:rPr>
          <w:rFonts w:ascii="Times New Roman" w:eastAsiaTheme="minorEastAsia" w:hAnsi="Times New Roman" w:cs="Times New Roman"/>
          <w:iCs/>
          <w:sz w:val="24"/>
          <w:szCs w:val="24"/>
        </w:rPr>
        <w:t>TM</w:t>
      </w:r>
      <w:r w:rsidRPr="00E4115B">
        <w:rPr>
          <w:rFonts w:ascii="Times New Roman" w:eastAsiaTheme="minorEastAsia" w:hAnsi="Times New Roman" w:cs="Times New Roman"/>
          <w:iCs/>
          <w:sz w:val="24"/>
          <w:szCs w:val="24"/>
        </w:rPr>
        <w:tab/>
        <w:t>:</w:t>
      </w:r>
      <w:r w:rsidRPr="00E4115B">
        <w:rPr>
          <w:rFonts w:ascii="Times New Roman" w:eastAsiaTheme="minorEastAsia" w:hAnsi="Times New Roman" w:cs="Times New Roman"/>
          <w:iCs/>
          <w:sz w:val="24"/>
          <w:szCs w:val="24"/>
        </w:rPr>
        <w:tab/>
        <w:t>Piyasa katılımcıları için pozisyon limitinde kullanılacak değerler toplamını (Sm</w:t>
      </w:r>
      <w:r w:rsidRPr="00E4115B">
        <w:rPr>
          <w:rFonts w:ascii="Times New Roman" w:eastAsiaTheme="minorEastAsia" w:hAnsi="Times New Roman" w:cs="Times New Roman"/>
          <w:iCs/>
          <w:sz w:val="24"/>
          <w:szCs w:val="24"/>
          <w:vertAlign w:val="superscript"/>
        </w:rPr>
        <w:t>3</w:t>
      </w:r>
      <w:r w:rsidRPr="00E4115B">
        <w:rPr>
          <w:rFonts w:ascii="Times New Roman" w:eastAsiaTheme="minorEastAsia" w:hAnsi="Times New Roman" w:cs="Times New Roman"/>
          <w:iCs/>
          <w:sz w:val="24"/>
          <w:szCs w:val="24"/>
        </w:rPr>
        <w:t>),</w:t>
      </w:r>
    </w:p>
    <w:p w14:paraId="4AB32851" w14:textId="443BB38B" w:rsidR="007E6742" w:rsidRPr="00E4115B" w:rsidRDefault="007E6742" w:rsidP="00C63473">
      <w:pPr>
        <w:jc w:val="both"/>
        <w:rPr>
          <w:rFonts w:ascii="Times New Roman" w:eastAsiaTheme="minorEastAsia" w:hAnsi="Times New Roman" w:cs="Times New Roman"/>
          <w:iCs/>
          <w:sz w:val="24"/>
          <w:szCs w:val="24"/>
        </w:rPr>
      </w:pPr>
      <w:r w:rsidRPr="00E4115B">
        <w:rPr>
          <w:rFonts w:ascii="Times New Roman" w:eastAsiaTheme="minorEastAsia" w:hAnsi="Times New Roman" w:cs="Times New Roman"/>
          <w:iCs/>
          <w:sz w:val="24"/>
          <w:szCs w:val="24"/>
        </w:rPr>
        <w:t>N</w:t>
      </w:r>
      <w:r w:rsidRPr="00E4115B">
        <w:rPr>
          <w:rFonts w:ascii="Times New Roman" w:eastAsiaTheme="minorEastAsia" w:hAnsi="Times New Roman" w:cs="Times New Roman"/>
          <w:iCs/>
          <w:sz w:val="24"/>
          <w:szCs w:val="24"/>
        </w:rPr>
        <w:tab/>
        <w:t>:</w:t>
      </w:r>
      <w:r w:rsidRPr="00E4115B">
        <w:rPr>
          <w:rFonts w:ascii="Times New Roman" w:eastAsiaTheme="minorEastAsia" w:hAnsi="Times New Roman" w:cs="Times New Roman"/>
          <w:iCs/>
          <w:sz w:val="24"/>
          <w:szCs w:val="24"/>
        </w:rPr>
        <w:tab/>
        <w:t>Hesaplamanın yapıldığı gün</w:t>
      </w:r>
      <w:r w:rsidR="00017BF3">
        <w:rPr>
          <w:rFonts w:ascii="Times New Roman" w:eastAsiaTheme="minorEastAsia" w:hAnsi="Times New Roman" w:cs="Times New Roman"/>
          <w:iCs/>
          <w:sz w:val="24"/>
          <w:szCs w:val="24"/>
        </w:rPr>
        <w:t>, PUE kapsamında işletilen STP’</w:t>
      </w:r>
      <w:r w:rsidRPr="00E4115B">
        <w:rPr>
          <w:rFonts w:ascii="Times New Roman" w:eastAsiaTheme="minorEastAsia" w:hAnsi="Times New Roman" w:cs="Times New Roman"/>
          <w:iCs/>
          <w:sz w:val="24"/>
          <w:szCs w:val="24"/>
        </w:rPr>
        <w:t xml:space="preserve">deki aktif piyasa katılımcısı sayısını, </w:t>
      </w:r>
    </w:p>
    <w:p w14:paraId="561E942D" w14:textId="77777777" w:rsidR="007E6742" w:rsidRPr="00E4115B" w:rsidRDefault="007E6742" w:rsidP="00C63473">
      <w:pPr>
        <w:jc w:val="both"/>
        <w:rPr>
          <w:rFonts w:ascii="Times New Roman" w:eastAsiaTheme="minorEastAsia" w:hAnsi="Times New Roman" w:cs="Times New Roman"/>
          <w:iCs/>
          <w:sz w:val="24"/>
          <w:szCs w:val="24"/>
        </w:rPr>
      </w:pPr>
      <w:r w:rsidRPr="00E4115B">
        <w:rPr>
          <w:rFonts w:ascii="Times New Roman" w:eastAsiaTheme="minorEastAsia" w:hAnsi="Times New Roman" w:cs="Times New Roman"/>
          <w:iCs/>
          <w:sz w:val="24"/>
          <w:szCs w:val="24"/>
        </w:rPr>
        <w:t>FG</w:t>
      </w:r>
      <w:r w:rsidRPr="00E4115B">
        <w:rPr>
          <w:rFonts w:ascii="Times New Roman" w:eastAsiaTheme="minorEastAsia" w:hAnsi="Times New Roman" w:cs="Times New Roman"/>
          <w:iCs/>
          <w:sz w:val="24"/>
          <w:szCs w:val="24"/>
          <w:vertAlign w:val="subscript"/>
        </w:rPr>
        <w:t xml:space="preserve">p </w:t>
      </w:r>
      <w:r w:rsidRPr="00E4115B">
        <w:rPr>
          <w:rFonts w:ascii="Times New Roman" w:eastAsiaTheme="minorEastAsia" w:hAnsi="Times New Roman" w:cs="Times New Roman"/>
          <w:iCs/>
          <w:sz w:val="24"/>
          <w:szCs w:val="24"/>
          <w:vertAlign w:val="subscript"/>
        </w:rPr>
        <w:tab/>
      </w:r>
      <w:r w:rsidRPr="00E4115B">
        <w:rPr>
          <w:rFonts w:ascii="Times New Roman" w:eastAsiaTheme="minorEastAsia" w:hAnsi="Times New Roman" w:cs="Times New Roman"/>
          <w:iCs/>
          <w:sz w:val="24"/>
          <w:szCs w:val="24"/>
        </w:rPr>
        <w:t>:</w:t>
      </w:r>
      <w:r w:rsidRPr="00E4115B">
        <w:rPr>
          <w:rFonts w:ascii="Times New Roman" w:eastAsiaTheme="minorEastAsia" w:hAnsi="Times New Roman" w:cs="Times New Roman"/>
          <w:iCs/>
          <w:sz w:val="24"/>
          <w:szCs w:val="24"/>
        </w:rPr>
        <w:tab/>
        <w:t>"p" piyasa katılımcısının ilgili dönemdeki Fiziki Giriş miktarını,</w:t>
      </w:r>
    </w:p>
    <w:p w14:paraId="6E27651A" w14:textId="77777777" w:rsidR="007E6742" w:rsidRPr="00E4115B" w:rsidRDefault="007E6742" w:rsidP="00C63473">
      <w:pPr>
        <w:jc w:val="both"/>
        <w:rPr>
          <w:rFonts w:ascii="Times New Roman" w:eastAsiaTheme="minorEastAsia" w:hAnsi="Times New Roman" w:cs="Times New Roman"/>
          <w:iCs/>
          <w:sz w:val="24"/>
          <w:szCs w:val="24"/>
        </w:rPr>
      </w:pPr>
      <w:r w:rsidRPr="00E4115B">
        <w:rPr>
          <w:rFonts w:ascii="Times New Roman" w:eastAsiaTheme="minorEastAsia" w:hAnsi="Times New Roman" w:cs="Times New Roman"/>
          <w:iCs/>
          <w:sz w:val="24"/>
          <w:szCs w:val="24"/>
        </w:rPr>
        <w:t>UDNG</w:t>
      </w:r>
      <w:r w:rsidRPr="00E4115B">
        <w:rPr>
          <w:rFonts w:ascii="Times New Roman" w:eastAsiaTheme="minorEastAsia" w:hAnsi="Times New Roman" w:cs="Times New Roman"/>
          <w:iCs/>
          <w:sz w:val="24"/>
          <w:szCs w:val="24"/>
          <w:vertAlign w:val="subscript"/>
        </w:rPr>
        <w:t xml:space="preserve">p  </w:t>
      </w:r>
      <w:r w:rsidRPr="00E4115B">
        <w:rPr>
          <w:rFonts w:ascii="Times New Roman" w:eastAsiaTheme="minorEastAsia" w:hAnsi="Times New Roman" w:cs="Times New Roman"/>
          <w:iCs/>
          <w:sz w:val="24"/>
          <w:szCs w:val="24"/>
        </w:rPr>
        <w:t xml:space="preserve"> :</w:t>
      </w:r>
      <w:r w:rsidRPr="00E4115B">
        <w:rPr>
          <w:rFonts w:ascii="Times New Roman" w:eastAsiaTheme="minorEastAsia" w:hAnsi="Times New Roman" w:cs="Times New Roman"/>
          <w:iCs/>
          <w:sz w:val="24"/>
          <w:szCs w:val="24"/>
        </w:rPr>
        <w:tab/>
        <w:t>"p" piyasa katılımcısının ilgili dönemdeki UDN Giriş miktarını,</w:t>
      </w:r>
    </w:p>
    <w:p w14:paraId="785E7FB7" w14:textId="77777777" w:rsidR="007E6742" w:rsidRPr="00E4115B" w:rsidRDefault="007E6742" w:rsidP="00C63473">
      <w:pPr>
        <w:jc w:val="both"/>
        <w:rPr>
          <w:rFonts w:ascii="Times New Roman" w:eastAsiaTheme="minorEastAsia" w:hAnsi="Times New Roman" w:cs="Times New Roman"/>
          <w:iCs/>
          <w:sz w:val="24"/>
          <w:szCs w:val="24"/>
        </w:rPr>
      </w:pPr>
      <w:r w:rsidRPr="00E4115B">
        <w:rPr>
          <w:rFonts w:ascii="Times New Roman" w:eastAsiaTheme="minorEastAsia" w:hAnsi="Times New Roman" w:cs="Times New Roman"/>
          <w:iCs/>
          <w:sz w:val="24"/>
          <w:szCs w:val="24"/>
        </w:rPr>
        <w:t>STPAM</w:t>
      </w:r>
      <w:r w:rsidRPr="00E4115B">
        <w:rPr>
          <w:rFonts w:ascii="Times New Roman" w:eastAsiaTheme="minorEastAsia" w:hAnsi="Times New Roman" w:cs="Times New Roman"/>
          <w:iCs/>
          <w:sz w:val="24"/>
          <w:szCs w:val="24"/>
          <w:vertAlign w:val="subscript"/>
        </w:rPr>
        <w:t>p</w:t>
      </w:r>
      <w:r w:rsidRPr="00E4115B">
        <w:rPr>
          <w:rFonts w:ascii="Times New Roman" w:eastAsiaTheme="minorEastAsia" w:hAnsi="Times New Roman" w:cs="Times New Roman"/>
          <w:iCs/>
          <w:sz w:val="24"/>
          <w:szCs w:val="24"/>
        </w:rPr>
        <w:t xml:space="preserve">  :</w:t>
      </w:r>
      <w:r w:rsidRPr="00E4115B">
        <w:rPr>
          <w:rFonts w:ascii="Times New Roman" w:eastAsiaTheme="minorEastAsia" w:hAnsi="Times New Roman" w:cs="Times New Roman"/>
          <w:iCs/>
          <w:sz w:val="24"/>
          <w:szCs w:val="24"/>
        </w:rPr>
        <w:tab/>
        <w:t>"p" piyasa katılımcısının ilgili dönemdeki STP'de PUE kapsamında yaptığı alış miktarını,</w:t>
      </w:r>
    </w:p>
    <w:p w14:paraId="5C5697A0" w14:textId="77777777" w:rsidR="007E6742" w:rsidRPr="00E4115B" w:rsidRDefault="007E6742" w:rsidP="00C63473">
      <w:pPr>
        <w:jc w:val="both"/>
        <w:rPr>
          <w:rFonts w:ascii="Times New Roman" w:eastAsiaTheme="minorEastAsia" w:hAnsi="Times New Roman" w:cs="Times New Roman"/>
          <w:iCs/>
          <w:sz w:val="24"/>
          <w:szCs w:val="24"/>
        </w:rPr>
      </w:pPr>
      <w:r w:rsidRPr="00E4115B">
        <w:rPr>
          <w:rFonts w:ascii="Times New Roman" w:eastAsiaTheme="minorEastAsia" w:hAnsi="Times New Roman" w:cs="Times New Roman"/>
          <w:iCs/>
          <w:sz w:val="24"/>
          <w:szCs w:val="24"/>
        </w:rPr>
        <w:t>TG</w:t>
      </w:r>
      <w:r w:rsidRPr="00E4115B">
        <w:rPr>
          <w:rFonts w:ascii="Times New Roman" w:eastAsiaTheme="minorEastAsia" w:hAnsi="Times New Roman" w:cs="Times New Roman"/>
          <w:iCs/>
          <w:sz w:val="24"/>
          <w:szCs w:val="24"/>
          <w:vertAlign w:val="subscript"/>
        </w:rPr>
        <w:t>p</w:t>
      </w:r>
      <w:r w:rsidRPr="00E4115B">
        <w:rPr>
          <w:rFonts w:ascii="Times New Roman" w:eastAsiaTheme="minorEastAsia" w:hAnsi="Times New Roman" w:cs="Times New Roman"/>
          <w:iCs/>
          <w:sz w:val="24"/>
          <w:szCs w:val="24"/>
        </w:rPr>
        <w:t xml:space="preserve"> </w:t>
      </w:r>
      <w:r w:rsidRPr="00E4115B">
        <w:rPr>
          <w:rFonts w:ascii="Times New Roman" w:eastAsiaTheme="minorEastAsia" w:hAnsi="Times New Roman" w:cs="Times New Roman"/>
          <w:iCs/>
          <w:sz w:val="24"/>
          <w:szCs w:val="24"/>
        </w:rPr>
        <w:tab/>
        <w:t>:</w:t>
      </w:r>
      <w:r w:rsidRPr="00E4115B">
        <w:rPr>
          <w:rFonts w:ascii="Times New Roman" w:eastAsiaTheme="minorEastAsia" w:hAnsi="Times New Roman" w:cs="Times New Roman"/>
          <w:iCs/>
          <w:sz w:val="24"/>
          <w:szCs w:val="24"/>
        </w:rPr>
        <w:tab/>
        <w:t>"p" piyasa katılımcısının ilgili dönemdeki Transfer Giriş miktarını,</w:t>
      </w:r>
    </w:p>
    <w:p w14:paraId="0103B09E" w14:textId="77777777" w:rsidR="007E6742" w:rsidRPr="00E4115B" w:rsidRDefault="007E6742" w:rsidP="00C63473">
      <w:pPr>
        <w:jc w:val="both"/>
        <w:rPr>
          <w:rFonts w:ascii="Times New Roman" w:eastAsiaTheme="minorEastAsia" w:hAnsi="Times New Roman" w:cs="Times New Roman"/>
          <w:iCs/>
          <w:sz w:val="24"/>
          <w:szCs w:val="24"/>
        </w:rPr>
      </w:pPr>
      <w:r w:rsidRPr="00E4115B">
        <w:rPr>
          <w:rFonts w:ascii="Times New Roman" w:eastAsiaTheme="minorEastAsia" w:hAnsi="Times New Roman" w:cs="Times New Roman"/>
          <w:iCs/>
          <w:sz w:val="24"/>
          <w:szCs w:val="24"/>
        </w:rPr>
        <w:t>VGPAM</w:t>
      </w:r>
      <w:r w:rsidRPr="00E4115B">
        <w:rPr>
          <w:rFonts w:ascii="Times New Roman" w:eastAsiaTheme="minorEastAsia" w:hAnsi="Times New Roman" w:cs="Times New Roman"/>
          <w:iCs/>
          <w:sz w:val="24"/>
          <w:szCs w:val="24"/>
          <w:vertAlign w:val="subscript"/>
        </w:rPr>
        <w:t xml:space="preserve">p  </w:t>
      </w:r>
      <w:r w:rsidRPr="00E4115B">
        <w:rPr>
          <w:rFonts w:ascii="Times New Roman" w:eastAsiaTheme="minorEastAsia" w:hAnsi="Times New Roman" w:cs="Times New Roman"/>
          <w:iCs/>
          <w:sz w:val="24"/>
          <w:szCs w:val="24"/>
        </w:rPr>
        <w:t xml:space="preserve"> :</w:t>
      </w:r>
      <w:r w:rsidRPr="00E4115B">
        <w:rPr>
          <w:rFonts w:ascii="Times New Roman" w:eastAsiaTheme="minorEastAsia" w:hAnsi="Times New Roman" w:cs="Times New Roman"/>
          <w:iCs/>
          <w:sz w:val="24"/>
          <w:szCs w:val="24"/>
        </w:rPr>
        <w:tab/>
        <w:t>"p" piyasa katılımcısının ilgili dönemdeki VGP'de yaptığı alış miktarını,</w:t>
      </w:r>
    </w:p>
    <w:p w14:paraId="059B4890" w14:textId="77777777" w:rsidR="007E6742" w:rsidRPr="00E4115B" w:rsidRDefault="007E6742" w:rsidP="00C63473">
      <w:pPr>
        <w:jc w:val="both"/>
        <w:rPr>
          <w:rFonts w:ascii="Times New Roman" w:eastAsiaTheme="minorEastAsia" w:hAnsi="Times New Roman" w:cs="Times New Roman"/>
          <w:iCs/>
          <w:sz w:val="24"/>
          <w:szCs w:val="24"/>
        </w:rPr>
      </w:pPr>
      <w:r w:rsidRPr="00E4115B">
        <w:rPr>
          <w:rFonts w:ascii="Times New Roman" w:eastAsiaTheme="minorEastAsia" w:hAnsi="Times New Roman" w:cs="Times New Roman"/>
          <w:iCs/>
          <w:sz w:val="24"/>
          <w:szCs w:val="24"/>
        </w:rPr>
        <w:t>FÇ</w:t>
      </w:r>
      <w:r w:rsidRPr="00E4115B">
        <w:rPr>
          <w:rFonts w:ascii="Times New Roman" w:eastAsiaTheme="minorEastAsia" w:hAnsi="Times New Roman" w:cs="Times New Roman"/>
          <w:iCs/>
          <w:sz w:val="24"/>
          <w:szCs w:val="24"/>
          <w:vertAlign w:val="subscript"/>
        </w:rPr>
        <w:t>p</w:t>
      </w:r>
      <w:r w:rsidRPr="00E4115B">
        <w:rPr>
          <w:rFonts w:ascii="Times New Roman" w:eastAsiaTheme="minorEastAsia" w:hAnsi="Times New Roman" w:cs="Times New Roman"/>
          <w:iCs/>
          <w:sz w:val="24"/>
          <w:szCs w:val="24"/>
        </w:rPr>
        <w:t xml:space="preserve"> </w:t>
      </w:r>
      <w:r w:rsidRPr="00E4115B">
        <w:rPr>
          <w:rFonts w:ascii="Times New Roman" w:eastAsiaTheme="minorEastAsia" w:hAnsi="Times New Roman" w:cs="Times New Roman"/>
          <w:iCs/>
          <w:sz w:val="24"/>
          <w:szCs w:val="24"/>
        </w:rPr>
        <w:tab/>
        <w:t>:</w:t>
      </w:r>
      <w:r w:rsidRPr="00E4115B">
        <w:rPr>
          <w:rFonts w:ascii="Times New Roman" w:eastAsiaTheme="minorEastAsia" w:hAnsi="Times New Roman" w:cs="Times New Roman"/>
          <w:iCs/>
          <w:sz w:val="24"/>
          <w:szCs w:val="24"/>
        </w:rPr>
        <w:tab/>
        <w:t>"p" piyasa katılımcısının ilgili dönemdeki Fiziki Çıkış miktarını,</w:t>
      </w:r>
    </w:p>
    <w:p w14:paraId="313B6168" w14:textId="77777777" w:rsidR="007E6742" w:rsidRPr="00E4115B" w:rsidRDefault="007E6742" w:rsidP="00C63473">
      <w:pPr>
        <w:jc w:val="both"/>
        <w:rPr>
          <w:rFonts w:ascii="Times New Roman" w:eastAsiaTheme="minorEastAsia" w:hAnsi="Times New Roman" w:cs="Times New Roman"/>
          <w:iCs/>
          <w:sz w:val="24"/>
          <w:szCs w:val="24"/>
        </w:rPr>
      </w:pPr>
      <w:r w:rsidRPr="00E4115B">
        <w:rPr>
          <w:rFonts w:ascii="Times New Roman" w:eastAsiaTheme="minorEastAsia" w:hAnsi="Times New Roman" w:cs="Times New Roman"/>
          <w:iCs/>
          <w:sz w:val="24"/>
          <w:szCs w:val="24"/>
        </w:rPr>
        <w:t>UDNÇ</w:t>
      </w:r>
      <w:r w:rsidRPr="00E4115B">
        <w:rPr>
          <w:rFonts w:ascii="Times New Roman" w:eastAsiaTheme="minorEastAsia" w:hAnsi="Times New Roman" w:cs="Times New Roman"/>
          <w:iCs/>
          <w:sz w:val="24"/>
          <w:szCs w:val="24"/>
          <w:vertAlign w:val="subscript"/>
        </w:rPr>
        <w:t>p</w:t>
      </w:r>
      <w:r w:rsidRPr="00E4115B">
        <w:rPr>
          <w:rFonts w:ascii="Times New Roman" w:eastAsiaTheme="minorEastAsia" w:hAnsi="Times New Roman" w:cs="Times New Roman"/>
          <w:iCs/>
          <w:sz w:val="24"/>
          <w:szCs w:val="24"/>
        </w:rPr>
        <w:t xml:space="preserve">  :</w:t>
      </w:r>
      <w:r w:rsidRPr="00E4115B">
        <w:rPr>
          <w:rFonts w:ascii="Times New Roman" w:eastAsiaTheme="minorEastAsia" w:hAnsi="Times New Roman" w:cs="Times New Roman"/>
          <w:iCs/>
          <w:sz w:val="24"/>
          <w:szCs w:val="24"/>
        </w:rPr>
        <w:tab/>
        <w:t>"p" piyasa katılımcısının ilgili dönemdeki UDN Çıkış miktarını,</w:t>
      </w:r>
    </w:p>
    <w:p w14:paraId="4E148E62" w14:textId="77777777" w:rsidR="007E6742" w:rsidRPr="00E4115B" w:rsidRDefault="007E6742" w:rsidP="00C63473">
      <w:pPr>
        <w:jc w:val="both"/>
        <w:rPr>
          <w:rFonts w:ascii="Times New Roman" w:eastAsiaTheme="minorEastAsia" w:hAnsi="Times New Roman" w:cs="Times New Roman"/>
          <w:iCs/>
          <w:sz w:val="24"/>
          <w:szCs w:val="24"/>
        </w:rPr>
      </w:pPr>
      <w:r w:rsidRPr="00E4115B">
        <w:rPr>
          <w:rFonts w:ascii="Times New Roman" w:eastAsiaTheme="minorEastAsia" w:hAnsi="Times New Roman" w:cs="Times New Roman"/>
          <w:iCs/>
          <w:sz w:val="24"/>
          <w:szCs w:val="24"/>
        </w:rPr>
        <w:lastRenderedPageBreak/>
        <w:t>STPSM</w:t>
      </w:r>
      <w:r w:rsidRPr="00E4115B">
        <w:rPr>
          <w:rFonts w:ascii="Times New Roman" w:eastAsiaTheme="minorEastAsia" w:hAnsi="Times New Roman" w:cs="Times New Roman"/>
          <w:iCs/>
          <w:sz w:val="24"/>
          <w:szCs w:val="24"/>
          <w:vertAlign w:val="subscript"/>
        </w:rPr>
        <w:t>p</w:t>
      </w:r>
      <w:r w:rsidRPr="00E4115B">
        <w:rPr>
          <w:rFonts w:ascii="Times New Roman" w:eastAsiaTheme="minorEastAsia" w:hAnsi="Times New Roman" w:cs="Times New Roman"/>
          <w:iCs/>
          <w:sz w:val="24"/>
          <w:szCs w:val="24"/>
        </w:rPr>
        <w:t xml:space="preserve">   :</w:t>
      </w:r>
      <w:r w:rsidRPr="00E4115B">
        <w:rPr>
          <w:rFonts w:ascii="Times New Roman" w:eastAsiaTheme="minorEastAsia" w:hAnsi="Times New Roman" w:cs="Times New Roman"/>
          <w:iCs/>
          <w:sz w:val="24"/>
          <w:szCs w:val="24"/>
        </w:rPr>
        <w:tab/>
        <w:t>"p" piyasa katılımcısının ilgili dönemdeki STP'de PUE kapsamında yaptığı satış miktarını,</w:t>
      </w:r>
    </w:p>
    <w:p w14:paraId="05A7179D" w14:textId="77777777" w:rsidR="007E6742" w:rsidRPr="00E4115B" w:rsidRDefault="007E6742" w:rsidP="00C63473">
      <w:pPr>
        <w:jc w:val="both"/>
        <w:rPr>
          <w:rFonts w:ascii="Times New Roman" w:eastAsiaTheme="minorEastAsia" w:hAnsi="Times New Roman" w:cs="Times New Roman"/>
          <w:iCs/>
          <w:sz w:val="24"/>
          <w:szCs w:val="24"/>
        </w:rPr>
      </w:pPr>
      <w:r w:rsidRPr="00E4115B">
        <w:rPr>
          <w:rFonts w:ascii="Times New Roman" w:eastAsiaTheme="minorEastAsia" w:hAnsi="Times New Roman" w:cs="Times New Roman"/>
          <w:iCs/>
          <w:sz w:val="24"/>
          <w:szCs w:val="24"/>
        </w:rPr>
        <w:t>TÇ</w:t>
      </w:r>
      <w:r w:rsidRPr="00E4115B">
        <w:rPr>
          <w:rFonts w:ascii="Times New Roman" w:eastAsiaTheme="minorEastAsia" w:hAnsi="Times New Roman" w:cs="Times New Roman"/>
          <w:iCs/>
          <w:sz w:val="24"/>
          <w:szCs w:val="24"/>
          <w:vertAlign w:val="subscript"/>
        </w:rPr>
        <w:t>p</w:t>
      </w:r>
      <w:r w:rsidRPr="00E4115B">
        <w:rPr>
          <w:rFonts w:ascii="Times New Roman" w:eastAsiaTheme="minorEastAsia" w:hAnsi="Times New Roman" w:cs="Times New Roman"/>
          <w:iCs/>
          <w:sz w:val="24"/>
          <w:szCs w:val="24"/>
        </w:rPr>
        <w:t xml:space="preserve"> </w:t>
      </w:r>
      <w:r w:rsidRPr="00E4115B">
        <w:rPr>
          <w:rFonts w:ascii="Times New Roman" w:eastAsiaTheme="minorEastAsia" w:hAnsi="Times New Roman" w:cs="Times New Roman"/>
          <w:iCs/>
          <w:sz w:val="24"/>
          <w:szCs w:val="24"/>
        </w:rPr>
        <w:tab/>
        <w:t xml:space="preserve"> :</w:t>
      </w:r>
      <w:r w:rsidRPr="00E4115B">
        <w:rPr>
          <w:rFonts w:ascii="Times New Roman" w:eastAsiaTheme="minorEastAsia" w:hAnsi="Times New Roman" w:cs="Times New Roman"/>
          <w:iCs/>
          <w:sz w:val="24"/>
          <w:szCs w:val="24"/>
        </w:rPr>
        <w:tab/>
        <w:t>"p" piyasa katılımcısının ilgili dönemdeki Transfer Çıkış miktarını,</w:t>
      </w:r>
    </w:p>
    <w:p w14:paraId="7641A146" w14:textId="77777777" w:rsidR="007E6742" w:rsidRPr="00E4115B" w:rsidRDefault="007E6742" w:rsidP="00C63473">
      <w:pPr>
        <w:jc w:val="both"/>
        <w:rPr>
          <w:rFonts w:ascii="Times New Roman" w:eastAsiaTheme="minorEastAsia" w:hAnsi="Times New Roman" w:cs="Times New Roman"/>
          <w:iCs/>
          <w:sz w:val="24"/>
          <w:szCs w:val="24"/>
        </w:rPr>
      </w:pPr>
      <w:r w:rsidRPr="00E4115B">
        <w:rPr>
          <w:rFonts w:ascii="Times New Roman" w:eastAsiaTheme="minorEastAsia" w:hAnsi="Times New Roman" w:cs="Times New Roman"/>
          <w:iCs/>
          <w:sz w:val="24"/>
          <w:szCs w:val="24"/>
        </w:rPr>
        <w:t>VGPSM</w:t>
      </w:r>
      <w:r w:rsidRPr="00E4115B">
        <w:rPr>
          <w:rFonts w:ascii="Times New Roman" w:eastAsiaTheme="minorEastAsia" w:hAnsi="Times New Roman" w:cs="Times New Roman"/>
          <w:iCs/>
          <w:sz w:val="24"/>
          <w:szCs w:val="24"/>
          <w:vertAlign w:val="subscript"/>
        </w:rPr>
        <w:t>p</w:t>
      </w:r>
      <w:r w:rsidRPr="00E4115B">
        <w:rPr>
          <w:rFonts w:ascii="Times New Roman" w:eastAsiaTheme="minorEastAsia" w:hAnsi="Times New Roman" w:cs="Times New Roman"/>
          <w:iCs/>
          <w:sz w:val="24"/>
          <w:szCs w:val="24"/>
        </w:rPr>
        <w:t xml:space="preserve">  :</w:t>
      </w:r>
      <w:r w:rsidRPr="00E4115B">
        <w:rPr>
          <w:rFonts w:ascii="Times New Roman" w:eastAsiaTheme="minorEastAsia" w:hAnsi="Times New Roman" w:cs="Times New Roman"/>
          <w:iCs/>
          <w:sz w:val="24"/>
          <w:szCs w:val="24"/>
        </w:rPr>
        <w:tab/>
        <w:t>"p" piyasa katılımcısının ilgili dönemdeki VGP'de yaptığı satış miktarını</w:t>
      </w:r>
    </w:p>
    <w:p w14:paraId="4ED4DFF5" w14:textId="77777777" w:rsidR="007E6742" w:rsidRPr="00E4115B" w:rsidRDefault="007E6742" w:rsidP="00C63473">
      <w:pPr>
        <w:jc w:val="both"/>
        <w:rPr>
          <w:rFonts w:ascii="Times New Roman" w:eastAsiaTheme="minorEastAsia" w:hAnsi="Times New Roman" w:cs="Times New Roman"/>
          <w:bCs/>
          <w:iCs/>
          <w:sz w:val="24"/>
          <w:szCs w:val="24"/>
        </w:rPr>
      </w:pPr>
      <w:r w:rsidRPr="00E4115B">
        <w:rPr>
          <w:rFonts w:ascii="Times New Roman" w:eastAsiaTheme="minorEastAsia" w:hAnsi="Times New Roman" w:cs="Times New Roman"/>
          <w:bCs/>
          <w:iCs/>
          <w:sz w:val="24"/>
          <w:szCs w:val="24"/>
        </w:rPr>
        <w:t>ifade eder.</w:t>
      </w:r>
    </w:p>
    <w:p w14:paraId="470C8EDD" w14:textId="77777777" w:rsidR="007E6742" w:rsidRPr="00E4115B" w:rsidRDefault="007E6742" w:rsidP="00AB23F7">
      <w:pPr>
        <w:pStyle w:val="Balk3"/>
        <w:ind w:left="0" w:hanging="11"/>
        <w:rPr>
          <w:b w:val="0"/>
        </w:rPr>
      </w:pPr>
      <w:r w:rsidRPr="00E4115B">
        <w:rPr>
          <w:b w:val="0"/>
        </w:rPr>
        <w:t xml:space="preserve">11.2.2 maddesi kapsamında katılımcı pozisyon limiti hesaplamasına ilişkin olarak piyasa katılımcılarının hesaplamanın yapıldığı günden önceki uzlaştırma bildirimi kesinleşmiş son on iki ay içerisinde gerçekleşmiş uzlaştırmaya esas değerler dikkate alınır. </w:t>
      </w:r>
    </w:p>
    <w:p w14:paraId="47D19278" w14:textId="77777777" w:rsidR="007E6742" w:rsidRPr="00E4115B" w:rsidRDefault="007E6742" w:rsidP="00AB23F7">
      <w:pPr>
        <w:pStyle w:val="Balk3"/>
        <w:ind w:left="0" w:hanging="11"/>
        <w:rPr>
          <w:b w:val="0"/>
        </w:rPr>
      </w:pPr>
      <w:r w:rsidRPr="00E4115B">
        <w:rPr>
          <w:b w:val="0"/>
        </w:rPr>
        <w:t xml:space="preserve">Pozisyon limiti belirlenen piyasa katılımcıları kısa ve/veya uzun pozisyon sahibi olabilir. </w:t>
      </w:r>
    </w:p>
    <w:p w14:paraId="4DECEBCC" w14:textId="77777777" w:rsidR="007E6742" w:rsidRPr="00E4115B" w:rsidRDefault="007E6742" w:rsidP="00AB23F7">
      <w:pPr>
        <w:pStyle w:val="Balk3"/>
        <w:ind w:left="0" w:hanging="11"/>
        <w:rPr>
          <w:b w:val="0"/>
        </w:rPr>
      </w:pPr>
      <w:r w:rsidRPr="00E4115B">
        <w:rPr>
          <w:b w:val="0"/>
        </w:rPr>
        <w:t xml:space="preserve">Pozisyon limitine ulaşan piyasa katılımcılarının net pozisyonunu arttırıcı işlemlerine izin verilmez. </w:t>
      </w:r>
    </w:p>
    <w:p w14:paraId="151EC1A9" w14:textId="0928C43B" w:rsidR="007E6742" w:rsidRPr="00E4115B" w:rsidRDefault="007E6742" w:rsidP="00AB23F7">
      <w:pPr>
        <w:pStyle w:val="Balk3"/>
        <w:ind w:left="0" w:hanging="11"/>
        <w:rPr>
          <w:b w:val="0"/>
        </w:rPr>
      </w:pPr>
      <w:r w:rsidRPr="00E4115B">
        <w:rPr>
          <w:b w:val="0"/>
        </w:rPr>
        <w:t>Piyasa katılımcılarının pozisyon limiti 11.1.3 maddesinin (c) bendinde belirtilen hesaplamayı müteakip güncellenir</w:t>
      </w:r>
      <w:r w:rsidRPr="00681BF6">
        <w:rPr>
          <w:b w:val="0"/>
        </w:rPr>
        <w:t>.</w:t>
      </w:r>
      <w:r w:rsidR="00E06EDC" w:rsidRPr="00681BF6">
        <w:rPr>
          <w:b w:val="0"/>
          <w:iCs/>
          <w:color w:val="FF0000"/>
        </w:rPr>
        <w:t xml:space="preserve"> </w:t>
      </w:r>
      <w:r w:rsidR="00E06EDC" w:rsidRPr="00681BF6">
        <w:rPr>
          <w:b w:val="0"/>
          <w:iCs/>
        </w:rPr>
        <w:t>Söz konusu güncellemeden</w:t>
      </w:r>
      <w:r w:rsidR="00E06EDC" w:rsidRPr="00681BF6">
        <w:rPr>
          <w:b w:val="0"/>
        </w:rPr>
        <w:t xml:space="preserve"> önceki dönemde </w:t>
      </w:r>
      <w:r w:rsidR="00E06EDC" w:rsidRPr="00681BF6">
        <w:rPr>
          <w:b w:val="0"/>
          <w:iCs/>
        </w:rPr>
        <w:t>11.2.9 maddesi uyarınca</w:t>
      </w:r>
      <w:r w:rsidR="00E06EDC" w:rsidRPr="00681BF6">
        <w:rPr>
          <w:b w:val="0"/>
        </w:rPr>
        <w:t xml:space="preserve"> hesaplanan pozisyon limiti artışı tutarı sıfır olur. Katılımcı hesaplama neticesinde ortaya çıkan pozisyon limiti ile işlemlerine devam eder</w:t>
      </w:r>
      <w:r w:rsidR="00E06EDC" w:rsidRPr="00E06EDC">
        <w:rPr>
          <w:b w:val="0"/>
        </w:rPr>
        <w:t>.</w:t>
      </w:r>
      <w:r w:rsidR="00E06EDC" w:rsidRPr="00E06EDC" w:rsidDel="000E2A2D">
        <w:rPr>
          <w:b w:val="0"/>
          <w:iCs/>
          <w:u w:val="single"/>
        </w:rPr>
        <w:t xml:space="preserve"> </w:t>
      </w:r>
    </w:p>
    <w:p w14:paraId="57F82DFC" w14:textId="77777777" w:rsidR="007E6742" w:rsidRPr="00E4115B" w:rsidRDefault="007E6742" w:rsidP="00AB23F7">
      <w:pPr>
        <w:pStyle w:val="Balk3"/>
        <w:ind w:left="0" w:hanging="11"/>
        <w:rPr>
          <w:b w:val="0"/>
        </w:rPr>
      </w:pPr>
      <w:r w:rsidRPr="00E4115B">
        <w:rPr>
          <w:b w:val="0"/>
        </w:rPr>
        <w:t xml:space="preserve">Katılımcı pozisyon limitine ulaşan piyasa katılımcıları, pozisyon limitlerinin arttırılması için taleplerini gerekçeleri ile birlikte piyasa işletmecisine iletebilirler. Bu talepleri kabul edilen piyasa katılımcısının temerrüt garanti hesabı katkı payı yeniden hesaplanır. Temerrüt garanti hesabı katkı payını tamamlayan piyasa katılımcılarının toplam pozisyon limitleri arttırılır. </w:t>
      </w:r>
    </w:p>
    <w:p w14:paraId="67090239" w14:textId="77777777" w:rsidR="007E6742" w:rsidRPr="00E4115B" w:rsidRDefault="007E6742" w:rsidP="00AB23F7">
      <w:pPr>
        <w:pStyle w:val="Balk3"/>
        <w:ind w:left="0" w:hanging="11"/>
        <w:rPr>
          <w:b w:val="0"/>
        </w:rPr>
      </w:pPr>
      <w:r w:rsidRPr="00E4115B">
        <w:rPr>
          <w:b w:val="0"/>
        </w:rPr>
        <w:t>Piyasa katılımcıları, pozisyon limitlerinin azaltılması için piyasa işletmecisine başvuruda bulunabilirler. Bu talepleri kabul edilen piyasa katılımcılarının pozisyon limitleri azaltılır. Piyasa katılımcılarının talep edilecek temerrüt garanti hesabı katkı paylarının azalması durumunda, bir sonraki temerrüt garanti hesabı büyüklüğünün hesaplanması sonucunda varsa fazla tutar serbest bırakılır.</w:t>
      </w:r>
    </w:p>
    <w:p w14:paraId="5FA73134" w14:textId="77777777" w:rsidR="007E6742" w:rsidRPr="00E4115B" w:rsidRDefault="00AB23F7" w:rsidP="00AB23F7">
      <w:pPr>
        <w:pStyle w:val="Balk3"/>
        <w:ind w:left="0" w:hanging="11"/>
        <w:rPr>
          <w:b w:val="0"/>
        </w:rPr>
      </w:pPr>
      <w:r w:rsidRPr="00E4115B">
        <w:rPr>
          <w:b w:val="0"/>
        </w:rPr>
        <w:t>P</w:t>
      </w:r>
      <w:r w:rsidR="007E6742" w:rsidRPr="00E4115B">
        <w:rPr>
          <w:b w:val="0"/>
        </w:rPr>
        <w:t>ozisyon limiti artışı başvurularında artırılmak istenen miktara karşılık olarak temerrüt garanti hesabı için yatırması gereken katkı payı aşağıdaki şekilde hesaplanır.</w:t>
      </w:r>
    </w:p>
    <w:p w14:paraId="2C177255" w14:textId="77777777" w:rsidR="007E6742" w:rsidRPr="00E4115B" w:rsidRDefault="00F92C1E"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PLAK</m:t>
              </m:r>
            </m:e>
            <m:sub>
              <m:r>
                <m:rPr>
                  <m:sty m:val="p"/>
                </m:rPr>
                <w:rPr>
                  <w:rFonts w:ascii="Cambria Math" w:hAnsi="Cambria Math" w:cs="Times New Roman"/>
                  <w:sz w:val="24"/>
                  <w:szCs w:val="24"/>
                </w:rPr>
                <m:t>p,d</m:t>
              </m:r>
            </m:sub>
          </m:sSub>
          <m:r>
            <m:rPr>
              <m:sty m:val="p"/>
            </m:rPr>
            <w:rPr>
              <w:rFonts w:ascii="Cambria Math" w:hAnsi="Cambria Math" w:cs="Times New Roman"/>
              <w:sz w:val="24"/>
              <w:szCs w:val="24"/>
            </w:rPr>
            <m:t>=</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TPL</m:t>
                  </m:r>
                </m:e>
                <m:sub>
                  <m:r>
                    <m:rPr>
                      <m:sty m:val="p"/>
                    </m:rPr>
                    <w:rPr>
                      <w:rFonts w:ascii="Cambria Math" w:hAnsi="Cambria Math" w:cs="Times New Roman"/>
                      <w:sz w:val="24"/>
                      <w:szCs w:val="24"/>
                    </w:rPr>
                    <m:t>p,d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PL</m:t>
                  </m:r>
                </m:e>
                <m:sub>
                  <m:r>
                    <m:rPr>
                      <m:sty m:val="p"/>
                    </m:rPr>
                    <w:rPr>
                      <w:rFonts w:ascii="Cambria Math" w:hAnsi="Cambria Math" w:cs="Times New Roman"/>
                      <w:sz w:val="24"/>
                      <w:szCs w:val="24"/>
                    </w:rPr>
                    <m:t>p,d</m:t>
                  </m:r>
                </m:sub>
              </m:sSub>
            </m:e>
          </m:d>
          <m:r>
            <m:rPr>
              <m:sty m:val="p"/>
            </m:rPr>
            <w:rPr>
              <w:rFonts w:ascii="Cambria Math" w:hAnsi="Cambria Math" w:cs="Times New Roman"/>
              <w:sz w:val="24"/>
              <w:szCs w:val="24"/>
            </w:rPr>
            <m:t>×</m:t>
          </m:r>
          <m:f>
            <m:fPr>
              <m:ctrlPr>
                <w:rPr>
                  <w:rFonts w:ascii="Cambria Math" w:hAnsi="Cambria Math" w:cs="Times New Roman"/>
                  <w:iCs/>
                  <w:sz w:val="24"/>
                  <w:szCs w:val="24"/>
                </w:rPr>
              </m:ctrlPr>
            </m:fPr>
            <m:num>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p=1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TGH</m:t>
                      </m:r>
                    </m:e>
                    <m:sub>
                      <m:r>
                        <m:rPr>
                          <m:sty m:val="p"/>
                        </m:rPr>
                        <w:rPr>
                          <w:rFonts w:ascii="Cambria Math" w:hAnsi="Cambria Math" w:cs="Times New Roman"/>
                          <w:sz w:val="24"/>
                          <w:szCs w:val="24"/>
                        </w:rPr>
                        <m:t>d,p</m:t>
                      </m:r>
                    </m:sub>
                  </m:sSub>
                </m:e>
              </m:nary>
            </m:num>
            <m:den>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p=1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PL</m:t>
                      </m:r>
                    </m:e>
                    <m:sub>
                      <m:r>
                        <m:rPr>
                          <m:sty m:val="p"/>
                        </m:rPr>
                        <w:rPr>
                          <w:rFonts w:ascii="Cambria Math" w:hAnsi="Cambria Math" w:cs="Times New Roman"/>
                          <w:sz w:val="24"/>
                          <w:szCs w:val="24"/>
                        </w:rPr>
                        <m:t>p,d</m:t>
                      </m:r>
                    </m:sub>
                  </m:sSub>
                </m:e>
              </m:nary>
            </m:den>
          </m:f>
        </m:oMath>
      </m:oMathPara>
    </w:p>
    <w:p w14:paraId="1A89E393" w14:textId="77777777" w:rsidR="007E6742" w:rsidRPr="00E4115B" w:rsidRDefault="007E6742" w:rsidP="00C63473">
      <w:pPr>
        <w:jc w:val="both"/>
        <w:rPr>
          <w:rFonts w:ascii="Times New Roman" w:hAnsi="Times New Roman" w:cs="Times New Roman"/>
          <w:iCs/>
          <w:sz w:val="24"/>
          <w:szCs w:val="24"/>
        </w:rPr>
      </w:pPr>
    </w:p>
    <w:p w14:paraId="36EC36D3"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Yukarıdaki formülde geçen:</w:t>
      </w:r>
    </w:p>
    <w:p w14:paraId="1F000DE0"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PLAK</w:t>
      </w:r>
      <w:r w:rsidRPr="00E4115B">
        <w:rPr>
          <w:rFonts w:ascii="Times New Roman" w:hAnsi="Times New Roman" w:cs="Times New Roman"/>
          <w:sz w:val="24"/>
          <w:szCs w:val="24"/>
          <w:vertAlign w:val="subscript"/>
        </w:rPr>
        <w:t>p</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“p” piyasa katılımcısının “d” günündeki pozisyon limiti artışı için sunması gereken katkı payı tutarını, </w:t>
      </w:r>
    </w:p>
    <w:p w14:paraId="60212051"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TPL</w:t>
      </w:r>
      <w:r w:rsidRPr="00E4115B">
        <w:rPr>
          <w:rFonts w:ascii="Times New Roman" w:hAnsi="Times New Roman" w:cs="Times New Roman"/>
          <w:sz w:val="24"/>
          <w:szCs w:val="24"/>
          <w:vertAlign w:val="subscript"/>
        </w:rPr>
        <w:t xml:space="preserve">p,d   </w:t>
      </w:r>
      <w:r w:rsidRPr="00E4115B">
        <w:rPr>
          <w:rFonts w:ascii="Times New Roman" w:hAnsi="Times New Roman" w:cs="Times New Roman"/>
          <w:sz w:val="24"/>
          <w:szCs w:val="24"/>
        </w:rPr>
        <w:t>:</w:t>
      </w:r>
      <w:r w:rsidRPr="00E4115B">
        <w:rPr>
          <w:rFonts w:ascii="Times New Roman" w:hAnsi="Times New Roman" w:cs="Times New Roman"/>
          <w:sz w:val="24"/>
          <w:szCs w:val="24"/>
        </w:rPr>
        <w:tab/>
        <w:t>“p” piyasa katılımcısının “d gününde” talep ettiği pozisyon limitini,</w:t>
      </w:r>
    </w:p>
    <w:p w14:paraId="71E1AA60" w14:textId="3B50F320"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PL</w:t>
      </w:r>
      <w:r w:rsidRPr="00E4115B">
        <w:rPr>
          <w:rFonts w:ascii="Times New Roman" w:hAnsi="Times New Roman" w:cs="Times New Roman"/>
          <w:sz w:val="24"/>
          <w:szCs w:val="24"/>
          <w:vertAlign w:val="subscript"/>
        </w:rPr>
        <w:t xml:space="preserve">p,d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günündeki </w:t>
      </w:r>
      <w:r w:rsidR="00E06EDC" w:rsidRPr="00681BF6">
        <w:rPr>
          <w:rFonts w:ascii="Times New Roman" w:hAnsi="Times New Roman" w:cs="Times New Roman"/>
          <w:sz w:val="24"/>
          <w:szCs w:val="24"/>
        </w:rPr>
        <w:t xml:space="preserve">11.2.6. maddesi kapsamında hesaplanmış en güncel </w:t>
      </w:r>
      <w:r w:rsidRPr="00681BF6">
        <w:rPr>
          <w:rFonts w:ascii="Times New Roman" w:hAnsi="Times New Roman" w:cs="Times New Roman"/>
          <w:sz w:val="24"/>
          <w:szCs w:val="24"/>
        </w:rPr>
        <w:t xml:space="preserve">pozisyon </w:t>
      </w:r>
      <w:r w:rsidRPr="00E4115B">
        <w:rPr>
          <w:rFonts w:ascii="Times New Roman" w:hAnsi="Times New Roman" w:cs="Times New Roman"/>
          <w:sz w:val="24"/>
          <w:szCs w:val="24"/>
        </w:rPr>
        <w:t>limitini,</w:t>
      </w:r>
    </w:p>
    <w:p w14:paraId="795214BD"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TGH</w:t>
      </w:r>
      <w:r w:rsidRPr="00E4115B">
        <w:rPr>
          <w:rFonts w:ascii="Times New Roman" w:hAnsi="Times New Roman" w:cs="Times New Roman"/>
          <w:sz w:val="24"/>
          <w:szCs w:val="24"/>
          <w:vertAlign w:val="subscript"/>
        </w:rPr>
        <w:t xml:space="preserve">d,p   </w:t>
      </w:r>
      <w:r w:rsidRPr="00E4115B">
        <w:rPr>
          <w:rFonts w:ascii="Times New Roman" w:hAnsi="Times New Roman" w:cs="Times New Roman"/>
          <w:sz w:val="24"/>
          <w:szCs w:val="24"/>
        </w:rPr>
        <w:t>:</w:t>
      </w:r>
      <w:r w:rsidRPr="00E4115B">
        <w:rPr>
          <w:rFonts w:ascii="Times New Roman" w:hAnsi="Times New Roman" w:cs="Times New Roman"/>
          <w:sz w:val="24"/>
          <w:szCs w:val="24"/>
        </w:rPr>
        <w:tab/>
        <w:t>“d” gününde “p” piyasa katılımcısı için hesaplanan temerrüt garanti hesabı katkı payı tutarını,</w:t>
      </w:r>
    </w:p>
    <w:p w14:paraId="62AC215B" w14:textId="3C950BE5"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n   :</w:t>
      </w:r>
      <w:r w:rsidRPr="00E4115B">
        <w:rPr>
          <w:rFonts w:ascii="Times New Roman" w:hAnsi="Times New Roman" w:cs="Times New Roman"/>
          <w:sz w:val="24"/>
          <w:szCs w:val="24"/>
        </w:rPr>
        <w:tab/>
        <w:t>hesabın yapıldığı gün itibari ile aktif olan piyasa katılımcısı sayısını</w:t>
      </w:r>
    </w:p>
    <w:p w14:paraId="0088928E"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126AF3AE" w14:textId="77777777" w:rsidR="007E6742" w:rsidRPr="00E4115B" w:rsidRDefault="00AB23F7" w:rsidP="00AB23F7">
      <w:pPr>
        <w:pStyle w:val="Balk3"/>
        <w:ind w:left="0" w:hanging="11"/>
        <w:rPr>
          <w:b w:val="0"/>
        </w:rPr>
      </w:pPr>
      <w:r w:rsidRPr="00E4115B">
        <w:rPr>
          <w:b w:val="0"/>
        </w:rPr>
        <w:t>B</w:t>
      </w:r>
      <w:r w:rsidR="007E6742" w:rsidRPr="00E4115B">
        <w:rPr>
          <w:b w:val="0"/>
        </w:rPr>
        <w:t>ir katılımcının pozisyon limiti, diğer katılımcıların pozisyon limitleri toplamından büyük olamaz</w:t>
      </w:r>
      <w:r w:rsidR="00641082" w:rsidRPr="00E4115B">
        <w:rPr>
          <w:b w:val="0"/>
        </w:rPr>
        <w:t>.</w:t>
      </w:r>
    </w:p>
    <w:p w14:paraId="2C13267E" w14:textId="77777777" w:rsidR="00641082" w:rsidRPr="00E4115B" w:rsidRDefault="00641082" w:rsidP="00AB23F7">
      <w:pPr>
        <w:pStyle w:val="Balk2"/>
      </w:pPr>
      <w:bookmarkStart w:id="64" w:name="_Toc64755956"/>
      <w:r w:rsidRPr="00E4115B">
        <w:t>Pozisyonların Netleştirilmesi</w:t>
      </w:r>
      <w:bookmarkEnd w:id="64"/>
    </w:p>
    <w:p w14:paraId="75B86B4D" w14:textId="77777777" w:rsidR="00641082" w:rsidRPr="00E4115B" w:rsidRDefault="00641082" w:rsidP="00AB23F7">
      <w:pPr>
        <w:pStyle w:val="Balk3"/>
        <w:ind w:left="0" w:hanging="11"/>
        <w:rPr>
          <w:b w:val="0"/>
        </w:rPr>
      </w:pPr>
      <w:r w:rsidRPr="00E4115B">
        <w:rPr>
          <w:b w:val="0"/>
        </w:rPr>
        <w:t>Piyasa katılımcılarının sahip olduğu net pozisyonlarının belirlenmesi amacıyla piyasa işletmecisi tarafından her bir kontrat için pozisyonların netleştirilmesi işlemi yapılır.</w:t>
      </w:r>
    </w:p>
    <w:p w14:paraId="3EF96205" w14:textId="77777777" w:rsidR="00641082" w:rsidRPr="00E4115B" w:rsidRDefault="00641082" w:rsidP="00AB23F7">
      <w:pPr>
        <w:pStyle w:val="Balk3"/>
        <w:ind w:left="0" w:hanging="11"/>
        <w:rPr>
          <w:b w:val="0"/>
        </w:rPr>
      </w:pPr>
      <w:r w:rsidRPr="00E4115B">
        <w:rPr>
          <w:b w:val="0"/>
        </w:rPr>
        <w:t>Piyasa katılımcısının belirli bir teslimat dönemini içeren uzun ve/veya kısa pozisyonu ile aynı teslimat dönemindeki ters yönlü teklifinin eşleşmesi sonucunda sahip olduğu pozisyon, miktar (Sm</w:t>
      </w:r>
      <w:r w:rsidRPr="00E4115B">
        <w:rPr>
          <w:b w:val="0"/>
          <w:vertAlign w:val="superscript"/>
        </w:rPr>
        <w:t>3</w:t>
      </w:r>
      <w:r w:rsidRPr="00E4115B">
        <w:rPr>
          <w:b w:val="0"/>
        </w:rPr>
        <w:t xml:space="preserve">) üzerinden netleştirilir. </w:t>
      </w:r>
    </w:p>
    <w:p w14:paraId="00323169" w14:textId="77777777" w:rsidR="00641082" w:rsidRPr="00E4115B" w:rsidRDefault="00641082" w:rsidP="00AB23F7">
      <w:pPr>
        <w:pStyle w:val="Balk3"/>
        <w:ind w:left="0" w:hanging="11"/>
        <w:rPr>
          <w:b w:val="0"/>
        </w:rPr>
      </w:pPr>
      <w:r w:rsidRPr="00E4115B">
        <w:rPr>
          <w:b w:val="0"/>
        </w:rPr>
        <w:t>Piyasa katılımcılarının her bir kontrat için sahip olduğu pozisyonların netleştirilmesi aşağıdaki formüle göre yapılır;</w:t>
      </w:r>
    </w:p>
    <w:p w14:paraId="209E4996" w14:textId="35D4FF21" w:rsidR="00641082" w:rsidRPr="00424C95" w:rsidRDefault="00F92C1E" w:rsidP="00C63473">
      <w:pPr>
        <w:jc w:val="both"/>
        <w:rPr>
          <w:rFonts w:ascii="Times New Roman" w:eastAsiaTheme="minorEastAsia" w:hAnsi="Times New Roman" w:cs="Times New Roman"/>
          <w:color w:val="FF0000"/>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NPM</m:t>
              </m:r>
            </m:e>
            <m:sub>
              <m:r>
                <m:rPr>
                  <m:sty m:val="p"/>
                </m:rPr>
                <w:rPr>
                  <w:rFonts w:ascii="Cambria Math" w:hAnsi="Cambria Math" w:cs="Times New Roman"/>
                  <w:sz w:val="24"/>
                  <w:szCs w:val="24"/>
                </w:rPr>
                <m:t>p, d, i</m:t>
              </m:r>
            </m:sub>
          </m:sSub>
          <m:r>
            <m:rPr>
              <m:sty m:val="p"/>
            </m:rPr>
            <w:rPr>
              <w:rFonts w:ascii="Cambria Math" w:hAnsi="Cambria Math" w:cs="Times New Roman"/>
              <w:sz w:val="24"/>
              <w:szCs w:val="24"/>
            </w:rPr>
            <m:t>=</m:t>
          </m:r>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u=1</m:t>
              </m:r>
            </m:sub>
            <m:sup>
              <m:r>
                <m:rPr>
                  <m:sty m:val="p"/>
                </m:rPr>
                <w:rPr>
                  <w:rFonts w:ascii="Cambria Math" w:hAnsi="Cambria Math" w:cs="Times New Roman"/>
                  <w:sz w:val="24"/>
                  <w:szCs w:val="24"/>
                </w:rPr>
                <m:t>m</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PM</m:t>
                  </m:r>
                </m:e>
                <m:sub>
                  <m:r>
                    <m:rPr>
                      <m:sty m:val="p"/>
                    </m:rPr>
                    <w:rPr>
                      <w:rFonts w:ascii="Cambria Math" w:hAnsi="Cambria Math" w:cs="Times New Roman"/>
                      <w:sz w:val="24"/>
                      <w:szCs w:val="24"/>
                    </w:rPr>
                    <m:t>p, d, i, u</m:t>
                  </m:r>
                </m:sub>
              </m:sSub>
            </m:e>
          </m:nary>
          <m:r>
            <m:rPr>
              <m:sty m:val="p"/>
            </m:rPr>
            <w:rPr>
              <w:rFonts w:ascii="Cambria Math" w:hAnsi="Cambria Math" w:cs="Times New Roman"/>
              <w:sz w:val="24"/>
              <w:szCs w:val="24"/>
            </w:rPr>
            <m:t>-</m:t>
          </m:r>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k=1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PM</m:t>
                  </m:r>
                </m:e>
                <m:sub>
                  <m:r>
                    <m:rPr>
                      <m:sty m:val="p"/>
                    </m:rPr>
                    <w:rPr>
                      <w:rFonts w:ascii="Cambria Math" w:hAnsi="Cambria Math" w:cs="Times New Roman"/>
                      <w:sz w:val="24"/>
                      <w:szCs w:val="24"/>
                    </w:rPr>
                    <m:t>p, d, i, k</m:t>
                  </m:r>
                </m:sub>
              </m:sSub>
            </m:e>
          </m:nary>
          <m:r>
            <m:rPr>
              <m:sty m:val="p"/>
            </m:rPr>
            <w:rPr>
              <w:rFonts w:ascii="Cambria Math" w:hAnsi="Cambria Math" w:cs="Times New Roman"/>
              <w:color w:val="FF0000"/>
              <w:sz w:val="24"/>
              <w:szCs w:val="24"/>
            </w:rPr>
            <m:t xml:space="preserve"> </m:t>
          </m:r>
        </m:oMath>
      </m:oMathPara>
    </w:p>
    <w:p w14:paraId="474C745F" w14:textId="77777777" w:rsidR="00424C95" w:rsidRPr="00E4115B" w:rsidRDefault="00424C95" w:rsidP="00C63473">
      <w:pPr>
        <w:jc w:val="both"/>
        <w:rPr>
          <w:rFonts w:ascii="Times New Roman" w:hAnsi="Times New Roman" w:cs="Times New Roman"/>
          <w:color w:val="FF0000"/>
          <w:sz w:val="24"/>
          <w:szCs w:val="24"/>
        </w:rPr>
      </w:pPr>
    </w:p>
    <w:p w14:paraId="7379BB0F" w14:textId="77777777" w:rsidR="00641082" w:rsidRPr="00E4115B" w:rsidRDefault="00641082" w:rsidP="00C63473">
      <w:pPr>
        <w:jc w:val="both"/>
        <w:rPr>
          <w:rFonts w:ascii="Times New Roman" w:hAnsi="Times New Roman" w:cs="Times New Roman"/>
          <w:sz w:val="24"/>
          <w:szCs w:val="24"/>
        </w:rPr>
      </w:pPr>
      <w:r w:rsidRPr="00424C95">
        <w:rPr>
          <w:rFonts w:ascii="Times New Roman" w:hAnsi="Times New Roman" w:cs="Times New Roman"/>
          <w:sz w:val="24"/>
          <w:szCs w:val="24"/>
        </w:rPr>
        <w:t>a.</w:t>
      </w:r>
      <w:r w:rsidRPr="00E4115B">
        <w:rPr>
          <w:rFonts w:ascii="Times New Roman" w:hAnsi="Times New Roman" w:cs="Times New Roman"/>
          <w:sz w:val="24"/>
          <w:szCs w:val="24"/>
        </w:rPr>
        <w:t xml:space="preserve">  NPM</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&gt; 0 ise</w:t>
      </w:r>
      <w:r w:rsidRPr="00E4115B">
        <w:rPr>
          <w:rFonts w:ascii="Times New Roman" w:hAnsi="Times New Roman" w:cs="Times New Roman"/>
          <w:sz w:val="24"/>
          <w:szCs w:val="24"/>
        </w:rPr>
        <w:tab/>
        <w:t>“p” piyasa katılımcısının “d” gününde “i” kontratına ilişkin net uzun pozisyon miktarı NPM</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’dir.</w:t>
      </w:r>
    </w:p>
    <w:p w14:paraId="200A2630"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b.    NPM</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&lt; 0 ise</w:t>
      </w:r>
      <w:r w:rsidRPr="00E4115B">
        <w:rPr>
          <w:rFonts w:ascii="Times New Roman" w:hAnsi="Times New Roman" w:cs="Times New Roman"/>
          <w:sz w:val="24"/>
          <w:szCs w:val="24"/>
        </w:rPr>
        <w:tab/>
        <w:t xml:space="preserve">     “p” piyasa katılımcısının “d” gününde “i” kontratına ilişkin net kısa pozisyon miktarı           | NPM</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|’dir.</w:t>
      </w:r>
    </w:p>
    <w:p w14:paraId="4067BD1B"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c.  NPM</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 0 ise</w:t>
      </w:r>
      <w:r w:rsidRPr="00E4115B">
        <w:rPr>
          <w:rFonts w:ascii="Times New Roman" w:hAnsi="Times New Roman" w:cs="Times New Roman"/>
          <w:sz w:val="24"/>
          <w:szCs w:val="24"/>
        </w:rPr>
        <w:tab/>
        <w:t>“p” piyasa katılımcısının “d” gününde “i” kontratına ilişkin net pozisyon miktarı sıfırdır.</w:t>
      </w:r>
    </w:p>
    <w:p w14:paraId="66CE7B17"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Yukarıda yer alan formüllerde geçen; </w:t>
      </w:r>
    </w:p>
    <w:p w14:paraId="1A5509BC"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NPM</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“i” kontratına ilişkin net pozisyon miktarını, </w:t>
      </w:r>
    </w:p>
    <w:p w14:paraId="4B6325BF"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PM</w:t>
      </w:r>
      <w:r w:rsidRPr="00E4115B">
        <w:rPr>
          <w:rFonts w:ascii="Times New Roman" w:hAnsi="Times New Roman" w:cs="Times New Roman"/>
          <w:sz w:val="24"/>
          <w:szCs w:val="24"/>
          <w:vertAlign w:val="subscript"/>
        </w:rPr>
        <w:t xml:space="preserve">p,d,i,u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“i” kontratına ilişkin “u” uzun pozisyon miktarını, </w:t>
      </w:r>
    </w:p>
    <w:p w14:paraId="35ABEFEC"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PM</w:t>
      </w:r>
      <w:r w:rsidRPr="00E4115B">
        <w:rPr>
          <w:rFonts w:ascii="Times New Roman" w:hAnsi="Times New Roman" w:cs="Times New Roman"/>
          <w:sz w:val="24"/>
          <w:szCs w:val="24"/>
          <w:vertAlign w:val="subscript"/>
        </w:rPr>
        <w:t xml:space="preserve">p,d,i,k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“i” kontratına ilişkin “k” kısa pozisyon miktarını, </w:t>
      </w:r>
    </w:p>
    <w:p w14:paraId="201FFAEA"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m   :</w:t>
      </w:r>
      <w:r w:rsidRPr="00E4115B">
        <w:rPr>
          <w:rFonts w:ascii="Times New Roman" w:hAnsi="Times New Roman" w:cs="Times New Roman"/>
          <w:sz w:val="24"/>
          <w:szCs w:val="24"/>
        </w:rPr>
        <w:tab/>
        <w:t xml:space="preserve">“i” kontratına ilişkin uzun pozisyon adetini, </w:t>
      </w:r>
    </w:p>
    <w:p w14:paraId="05E9B61B"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n  :</w:t>
      </w:r>
      <w:r w:rsidRPr="00E4115B">
        <w:rPr>
          <w:rFonts w:ascii="Times New Roman" w:hAnsi="Times New Roman" w:cs="Times New Roman"/>
          <w:sz w:val="24"/>
          <w:szCs w:val="24"/>
        </w:rPr>
        <w:tab/>
        <w:t>“i” kontratına ilişkin kısa pozisyon adetini</w:t>
      </w:r>
    </w:p>
    <w:p w14:paraId="71FBEE24"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68EBCE17" w14:textId="6DE12C80" w:rsidR="00641082" w:rsidRDefault="00641082" w:rsidP="00AB23F7">
      <w:pPr>
        <w:pStyle w:val="Balk3"/>
        <w:ind w:left="0" w:hanging="11"/>
        <w:rPr>
          <w:b w:val="0"/>
        </w:rPr>
      </w:pPr>
      <w:r w:rsidRPr="00E4115B">
        <w:rPr>
          <w:b w:val="0"/>
        </w:rPr>
        <w:t>Piyasa katılımcılarının sahip oldukları uzun ve kısa pozisyonlar, ilgili pozisyon miktarlarından minimum olanı kadar netleştirilir.</w:t>
      </w:r>
    </w:p>
    <w:p w14:paraId="394E41AA" w14:textId="77777777" w:rsidR="00641082" w:rsidRPr="00E4115B" w:rsidRDefault="00641082" w:rsidP="00AB23F7">
      <w:pPr>
        <w:pStyle w:val="Balk2"/>
      </w:pPr>
      <w:bookmarkStart w:id="65" w:name="_Toc64755957"/>
      <w:r w:rsidRPr="00E4115B">
        <w:lastRenderedPageBreak/>
        <w:t>Kesinleşmiş Net Pozisyonların Hesaplanması ve Bildirimi</w:t>
      </w:r>
      <w:bookmarkEnd w:id="65"/>
    </w:p>
    <w:p w14:paraId="6C400A35" w14:textId="77777777" w:rsidR="00641082" w:rsidRPr="00E4115B" w:rsidRDefault="00641082" w:rsidP="00AB23F7">
      <w:pPr>
        <w:pStyle w:val="Balk3"/>
        <w:ind w:left="0" w:hanging="11"/>
        <w:rPr>
          <w:b w:val="0"/>
        </w:rPr>
      </w:pPr>
      <w:r w:rsidRPr="00E4115B">
        <w:rPr>
          <w:b w:val="0"/>
        </w:rPr>
        <w:t>Piyasa işletmecisi ticari işlem onayı verilmiş eşleşmeler ile her bir katılımcının her gaz gününe ilişkin kesinleşmiş net pozisyonunu hesaplar.</w:t>
      </w:r>
    </w:p>
    <w:p w14:paraId="6FD48BBC" w14:textId="77777777" w:rsidR="00641082" w:rsidRPr="00E4115B" w:rsidRDefault="00641082" w:rsidP="00AB23F7">
      <w:pPr>
        <w:pStyle w:val="Balk3"/>
        <w:ind w:left="0" w:hanging="11"/>
        <w:rPr>
          <w:b w:val="0"/>
        </w:rPr>
      </w:pPr>
      <w:r w:rsidRPr="00E4115B">
        <w:rPr>
          <w:b w:val="0"/>
        </w:rPr>
        <w:t>Fiziksel teslimat dönemi içindeki her bir gaz gününe ilişkin hesaplanan kesinleşmiş net pozisyonlar, G-1 saat 16:00’a kadar iletim şirketine piyasa katılımcısının nam ve hesabına G gününe ilişkin Taşıma Miktar Bildirimi (TMB) olarak bildirilir.</w:t>
      </w:r>
    </w:p>
    <w:p w14:paraId="4801AE7F" w14:textId="77777777" w:rsidR="00641082" w:rsidRPr="00E4115B" w:rsidRDefault="00641082" w:rsidP="00AB23F7">
      <w:pPr>
        <w:pStyle w:val="Balk3"/>
        <w:ind w:left="0" w:hanging="11"/>
        <w:rPr>
          <w:b w:val="0"/>
        </w:rPr>
      </w:pPr>
      <w:r w:rsidRPr="00E4115B">
        <w:rPr>
          <w:b w:val="0"/>
        </w:rPr>
        <w:t xml:space="preserve">Her bir piyasa katılımcısı için kesinleşmiş net pozisyonlar, ilgili katılımcının onaylanmış satış tekliflerinden onaylanmış alış tekliflerinin çıkarılmasıyla hesaplanır. İlgili gaz gününe ilişkin sonucun pozitif olduğu durumda satış yönlü değerler katılımcının VGP UDN Çıkış noktasında, negatif olduğu durumda ise sonucun mutlak değeri katılımcının VGP UDN Giriş noktasında TMB olarak EBT’ye kaydedilir. </w:t>
      </w:r>
    </w:p>
    <w:p w14:paraId="03901A14" w14:textId="77777777" w:rsidR="00641082" w:rsidRPr="00E4115B" w:rsidRDefault="00641082" w:rsidP="00AB23F7">
      <w:pPr>
        <w:pStyle w:val="Balk3"/>
        <w:ind w:left="0" w:hanging="11"/>
        <w:rPr>
          <w:b w:val="0"/>
        </w:rPr>
      </w:pPr>
      <w:r w:rsidRPr="00E4115B">
        <w:rPr>
          <w:b w:val="0"/>
        </w:rPr>
        <w:t>EBT’ye kaydı yapılan kesinleşmiş net pozisyon miktarları için piyasa işletmecisi, piyasa katılımcısına karşı taraf olur.</w:t>
      </w:r>
    </w:p>
    <w:p w14:paraId="58E4871A" w14:textId="7872038E" w:rsidR="00AB23F7" w:rsidRPr="007966DB" w:rsidRDefault="00641082" w:rsidP="00AB23F7">
      <w:pPr>
        <w:pStyle w:val="Balk3"/>
        <w:ind w:left="0" w:hanging="11"/>
        <w:rPr>
          <w:b w:val="0"/>
        </w:rPr>
      </w:pPr>
      <w:r w:rsidRPr="00E4115B">
        <w:rPr>
          <w:b w:val="0"/>
        </w:rPr>
        <w:t xml:space="preserve">Kesinleşmiş net pozisyonlar için, piyasa katılımcıları ŞİD’de belirtilen </w:t>
      </w:r>
      <w:r w:rsidR="00AB23F7" w:rsidRPr="00E4115B">
        <w:rPr>
          <w:b w:val="0"/>
        </w:rPr>
        <w:t>ilgili yükümlülüklere</w:t>
      </w:r>
      <w:r w:rsidRPr="00E4115B">
        <w:rPr>
          <w:b w:val="0"/>
        </w:rPr>
        <w:t xml:space="preserve"> tabi olur.</w:t>
      </w:r>
    </w:p>
    <w:p w14:paraId="521FC929" w14:textId="77777777" w:rsidR="00641082" w:rsidRPr="00E4115B" w:rsidRDefault="00641082" w:rsidP="004A35D9">
      <w:pPr>
        <w:pStyle w:val="Balk1"/>
      </w:pPr>
      <w:bookmarkStart w:id="66" w:name="_Toc64755958"/>
      <w:r w:rsidRPr="00E4115B">
        <w:t>TEMİNATLAR</w:t>
      </w:r>
      <w:bookmarkEnd w:id="66"/>
    </w:p>
    <w:p w14:paraId="28750622" w14:textId="77777777" w:rsidR="00641082" w:rsidRPr="00E4115B" w:rsidRDefault="00641082" w:rsidP="00AB07A1">
      <w:pPr>
        <w:pStyle w:val="Balk2"/>
      </w:pPr>
      <w:bookmarkStart w:id="67" w:name="_Toc64755959"/>
      <w:bookmarkStart w:id="68" w:name="_Toc64755960"/>
      <w:bookmarkEnd w:id="67"/>
      <w:r w:rsidRPr="00E4115B">
        <w:t>Teminatlara İlişkin Esaslar</w:t>
      </w:r>
      <w:bookmarkEnd w:id="68"/>
    </w:p>
    <w:p w14:paraId="2C7910D5" w14:textId="77777777" w:rsidR="00641082" w:rsidRPr="00E4115B" w:rsidRDefault="00641082" w:rsidP="00AB07A1">
      <w:pPr>
        <w:pStyle w:val="Balk3"/>
        <w:ind w:left="0" w:hanging="11"/>
        <w:rPr>
          <w:b w:val="0"/>
        </w:rPr>
      </w:pPr>
      <w:r w:rsidRPr="00E4115B">
        <w:rPr>
          <w:b w:val="0"/>
        </w:rPr>
        <w:t>Piyasa işletmecisi tarafından işletilen VGP’de işlem yapan piyasa katılımcılarından teminat alınır.</w:t>
      </w:r>
    </w:p>
    <w:p w14:paraId="3B8783FC" w14:textId="77777777" w:rsidR="00641082" w:rsidRPr="00E4115B" w:rsidRDefault="00641082" w:rsidP="00AB07A1">
      <w:pPr>
        <w:pStyle w:val="Balk3"/>
        <w:ind w:left="0" w:hanging="11"/>
        <w:rPr>
          <w:b w:val="0"/>
        </w:rPr>
      </w:pPr>
      <w:r w:rsidRPr="00E4115B">
        <w:rPr>
          <w:b w:val="0"/>
        </w:rPr>
        <w:t>Alınan teminatlar, piyasa katılımcılarının piyasa işletmecisi tarafından işletilen doğal gaz piyasalarına ilişkin yükümlülüklerini yerine getirememesi durumunda, piyasa işletmecisinin merkezi karşı taraf olarak üstlendiği risklerin yönetilmesinde, diğer piyasa katılımcılarının alacaklarının güvence altına alınmasında ve temerrüt yönetimi kapsamında piyasa işletmecisi tarafından açık pozisyonların kapatılmasında kullanılır.</w:t>
      </w:r>
    </w:p>
    <w:p w14:paraId="58DF34C2" w14:textId="77777777" w:rsidR="00641082" w:rsidRPr="00E4115B" w:rsidRDefault="00641082" w:rsidP="00AB07A1">
      <w:pPr>
        <w:pStyle w:val="Balk3"/>
        <w:ind w:left="0" w:hanging="11"/>
        <w:rPr>
          <w:b w:val="0"/>
        </w:rPr>
      </w:pPr>
      <w:r w:rsidRPr="00E4115B">
        <w:rPr>
          <w:b w:val="0"/>
        </w:rPr>
        <w:t>Piyasa işletmecisi tarafından, başlangıç teminatı ile finansal dönem ve fiziksel döneme ilişkin olarak istenen teminatlar, toplam VGP teminatını oluşturur.</w:t>
      </w:r>
    </w:p>
    <w:p w14:paraId="05F7EAFE" w14:textId="77777777" w:rsidR="00641082" w:rsidRPr="00E4115B" w:rsidRDefault="00641082" w:rsidP="00AB07A1">
      <w:pPr>
        <w:pStyle w:val="Balk3"/>
        <w:ind w:left="0" w:hanging="11"/>
        <w:rPr>
          <w:b w:val="0"/>
        </w:rPr>
      </w:pPr>
      <w:r w:rsidRPr="00E4115B">
        <w:rPr>
          <w:b w:val="0"/>
        </w:rPr>
        <w:t xml:space="preserve">Teminat işlemleri piyasa işletmecisi tarafından merkezi uzlaştırma kuruluşu aracılığıyla yürütülür. Piyasa işletmecisi ve merkezi uzlaştırma kuruluşu arasında yapılan merkezi uzlaştırma kuruluşu anlaşmasıyla, merkezi uzlaştırma kuruluşunun görev ve sorumlulukları belirlenir. </w:t>
      </w:r>
    </w:p>
    <w:p w14:paraId="12FED710" w14:textId="77777777" w:rsidR="00641082" w:rsidRPr="00E4115B" w:rsidRDefault="00641082" w:rsidP="00AB07A1">
      <w:pPr>
        <w:pStyle w:val="Balk3"/>
        <w:ind w:left="0" w:hanging="11"/>
        <w:rPr>
          <w:b w:val="0"/>
        </w:rPr>
      </w:pPr>
      <w:r w:rsidRPr="00E4115B">
        <w:rPr>
          <w:b w:val="0"/>
        </w:rPr>
        <w:t>Merkezi uzlaştırma kuruluşu, piyasa işletmecisi adına piyasa katılımcısı bazında piyasa faaliyetlerine ilişkin kendisine sunulan teminat tutarına, piyasa işletmecisi lehine rehin koyar.</w:t>
      </w:r>
    </w:p>
    <w:p w14:paraId="558D2A8C" w14:textId="77777777" w:rsidR="00641082" w:rsidRPr="00E4115B" w:rsidRDefault="00641082" w:rsidP="00AB07A1">
      <w:pPr>
        <w:pStyle w:val="Balk2"/>
      </w:pPr>
      <w:bookmarkStart w:id="69" w:name="_Toc64755961"/>
      <w:r w:rsidRPr="00E4115B">
        <w:t>Başlangıç Teminatı</w:t>
      </w:r>
      <w:bookmarkEnd w:id="69"/>
    </w:p>
    <w:p w14:paraId="23A61D5E" w14:textId="77777777" w:rsidR="00641082" w:rsidRPr="00E4115B" w:rsidRDefault="00641082" w:rsidP="00AB07A1">
      <w:pPr>
        <w:pStyle w:val="Balk3"/>
        <w:ind w:left="0" w:hanging="11"/>
        <w:rPr>
          <w:b w:val="0"/>
        </w:rPr>
      </w:pPr>
      <w:r w:rsidRPr="00E4115B">
        <w:rPr>
          <w:b w:val="0"/>
        </w:rPr>
        <w:t xml:space="preserve">Piyasa katılımcılarından VGP Katılım Anlaşmasını imzaladıktan sonra piyasaya girebilmeleri için başlangıç teminatı alınır. Başlangıç teminatı tutarı piyasa katılımcılarından söz konusu piyasada yapacakları işlemlerden bağımsız olarak alınır. </w:t>
      </w:r>
    </w:p>
    <w:p w14:paraId="36C17731" w14:textId="77777777" w:rsidR="00641082" w:rsidRPr="00E4115B" w:rsidRDefault="00641082" w:rsidP="00AB07A1">
      <w:pPr>
        <w:pStyle w:val="Balk3"/>
        <w:ind w:left="0" w:hanging="11"/>
        <w:rPr>
          <w:b w:val="0"/>
        </w:rPr>
      </w:pPr>
      <w:r w:rsidRPr="00E4115B">
        <w:rPr>
          <w:b w:val="0"/>
        </w:rPr>
        <w:lastRenderedPageBreak/>
        <w:t>Piyasa katılımcıları tarafından sunulması gereken başlangıç teminatı tutarı 150.000 TL’dir.</w:t>
      </w:r>
    </w:p>
    <w:p w14:paraId="370656B0" w14:textId="77777777" w:rsidR="00641082" w:rsidRPr="00E4115B" w:rsidRDefault="00641082" w:rsidP="00AB07A1">
      <w:pPr>
        <w:pStyle w:val="Balk2"/>
      </w:pPr>
      <w:bookmarkStart w:id="70" w:name="_Toc64755962"/>
      <w:r w:rsidRPr="00E4115B">
        <w:t>Finansal Dönem Teminatı</w:t>
      </w:r>
      <w:bookmarkEnd w:id="70"/>
    </w:p>
    <w:p w14:paraId="09386725" w14:textId="77777777" w:rsidR="00641082" w:rsidRPr="00E4115B" w:rsidRDefault="00641082" w:rsidP="00AB07A1">
      <w:pPr>
        <w:pStyle w:val="Balk3"/>
        <w:ind w:left="0" w:hanging="11"/>
        <w:rPr>
          <w:b w:val="0"/>
        </w:rPr>
      </w:pPr>
      <w:r w:rsidRPr="00E4115B">
        <w:rPr>
          <w:b w:val="0"/>
        </w:rPr>
        <w:t>Piyasa katılımcılarından VGP’de sahip oldukları finansal dönemdeki pozisyonlara ve yeni teklif girişlerine dair finansal dönem teminatı alınır.</w:t>
      </w:r>
    </w:p>
    <w:p w14:paraId="53D9BBAD" w14:textId="77777777" w:rsidR="00641082" w:rsidRPr="00E4115B" w:rsidRDefault="00641082" w:rsidP="00AB07A1">
      <w:pPr>
        <w:pStyle w:val="Balk3"/>
        <w:ind w:left="0" w:hanging="11"/>
        <w:rPr>
          <w:b w:val="0"/>
        </w:rPr>
      </w:pPr>
      <w:r w:rsidRPr="00E4115B">
        <w:rPr>
          <w:b w:val="0"/>
        </w:rPr>
        <w:t xml:space="preserve">Piyasa katılımcılarının sahip oldukları pozisyonlar için sundukları finansal dönem teminatı, net zarar tutarlarına ilişkin kalem hariç olmak üzere, ilgili kontrat için fiziksel döneme geçilmesiyle birlikte toplam teminat hesabında dikkate alınmaz. Her bir kontrata ilişkin net zarar tutarları ilgili kontratın fatura ödemesine kadar teminat hesaplamalarında kullanılır. </w:t>
      </w:r>
    </w:p>
    <w:p w14:paraId="6301AF64" w14:textId="77777777" w:rsidR="00641082" w:rsidRPr="00E4115B" w:rsidRDefault="00641082" w:rsidP="00AB07A1">
      <w:pPr>
        <w:pStyle w:val="Balk3"/>
        <w:ind w:left="0" w:hanging="11"/>
        <w:rPr>
          <w:b w:val="0"/>
        </w:rPr>
      </w:pPr>
      <w:r w:rsidRPr="00E4115B">
        <w:rPr>
          <w:b w:val="0"/>
        </w:rPr>
        <w:t>Finansal dönem teminatının belirlenmesinde kontrat teminatı, net zarar hesabı, piyasaya göre güncelleme teminatı ve tam yayılma pozisyonu teminat indirimi hesaplamaları kullanılır.</w:t>
      </w:r>
    </w:p>
    <w:p w14:paraId="52B27D79" w14:textId="77777777" w:rsidR="00641082" w:rsidRPr="00E4115B" w:rsidRDefault="00641082" w:rsidP="00AB07A1">
      <w:pPr>
        <w:pStyle w:val="Balk3"/>
        <w:ind w:left="0" w:hanging="11"/>
        <w:rPr>
          <w:b w:val="0"/>
        </w:rPr>
      </w:pPr>
      <w:r w:rsidRPr="00E4115B">
        <w:rPr>
          <w:b w:val="0"/>
        </w:rPr>
        <w:t>Finansal dönem teminatı aşağıdaki formüle göre hesaplanır:</w:t>
      </w:r>
    </w:p>
    <w:p w14:paraId="2484653F" w14:textId="77777777" w:rsidR="00641082" w:rsidRPr="00E4115B" w:rsidRDefault="00F92C1E"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FNDT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t>
          </m:r>
          <m:nary>
            <m:naryPr>
              <m:chr m:val="∑"/>
              <m:ctrlPr>
                <w:rPr>
                  <w:rFonts w:ascii="Cambria Math" w:hAnsi="Cambria Math" w:cs="Times New Roman"/>
                  <w:iCs/>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KT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t>
                  </m:r>
                  <m:d>
                    <m:dPr>
                      <m:begChr m:val="|"/>
                      <m:endChr m:val="|"/>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NZ</m:t>
                          </m:r>
                        </m:e>
                        <m:sub>
                          <m:r>
                            <m:rPr>
                              <m:sty m:val="p"/>
                            </m:rPr>
                            <w:rPr>
                              <w:rFonts w:ascii="Cambria Math" w:hAnsi="Cambria Math" w:cs="Times New Roman"/>
                              <w:sz w:val="24"/>
                              <w:szCs w:val="24"/>
                            </w:rPr>
                            <m:t>p,d,i</m:t>
                          </m:r>
                        </m:sub>
                      </m:sSub>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TPgGT</m:t>
                      </m:r>
                    </m:e>
                    <m:sub>
                      <m:r>
                        <m:rPr>
                          <m:sty m:val="p"/>
                        </m:rPr>
                        <w:rPr>
                          <w:rFonts w:ascii="Cambria Math" w:hAnsi="Cambria Math" w:cs="Times New Roman"/>
                          <w:sz w:val="24"/>
                          <w:szCs w:val="24"/>
                        </w:rPr>
                        <m:t>p,d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TYPTİ</m:t>
                      </m:r>
                    </m:e>
                    <m:sub>
                      <m:r>
                        <m:rPr>
                          <m:sty m:val="p"/>
                        </m:rPr>
                        <w:rPr>
                          <w:rFonts w:ascii="Cambria Math" w:hAnsi="Cambria Math" w:cs="Times New Roman"/>
                          <w:sz w:val="24"/>
                          <w:szCs w:val="24"/>
                        </w:rPr>
                        <m:t>p, d</m:t>
                      </m:r>
                    </m:sub>
                  </m:sSub>
                </m:e>
              </m:d>
            </m:e>
          </m:nary>
          <m:r>
            <m:rPr>
              <m:sty m:val="p"/>
            </m:rPr>
            <w:rPr>
              <w:rFonts w:ascii="Cambria Math" w:hAnsi="Cambria Math" w:cs="Times New Roman"/>
              <w:sz w:val="24"/>
              <w:szCs w:val="24"/>
            </w:rPr>
            <m:t xml:space="preserve">  (1)</m:t>
          </m:r>
        </m:oMath>
      </m:oMathPara>
    </w:p>
    <w:p w14:paraId="062CF702" w14:textId="77777777" w:rsidR="00641082" w:rsidRPr="00E4115B" w:rsidRDefault="00641082" w:rsidP="00C63473">
      <w:pPr>
        <w:jc w:val="both"/>
        <w:rPr>
          <w:rFonts w:ascii="Times New Roman" w:hAnsi="Times New Roman" w:cs="Times New Roman"/>
          <w:sz w:val="24"/>
          <w:szCs w:val="24"/>
        </w:rPr>
      </w:pPr>
    </w:p>
    <w:p w14:paraId="060CC865"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Yukarıdaki formülde geçen;</w:t>
      </w:r>
    </w:p>
    <w:p w14:paraId="337074CD"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FNDT</w:t>
      </w:r>
      <w:r w:rsidRPr="00E4115B">
        <w:rPr>
          <w:rFonts w:ascii="Times New Roman" w:hAnsi="Times New Roman" w:cs="Times New Roman"/>
          <w:sz w:val="24"/>
          <w:szCs w:val="24"/>
          <w:vertAlign w:val="subscript"/>
        </w:rPr>
        <w:t xml:space="preserve">p,d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sunması gereken toplam finansal dönem teminatını (TL), </w:t>
      </w:r>
    </w:p>
    <w:p w14:paraId="7C3DB975"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KT</w:t>
      </w:r>
      <w:r w:rsidRPr="00E4115B">
        <w:rPr>
          <w:rFonts w:ascii="Times New Roman" w:hAnsi="Times New Roman" w:cs="Times New Roman"/>
          <w:sz w:val="24"/>
          <w:szCs w:val="24"/>
          <w:vertAlign w:val="subscript"/>
        </w:rPr>
        <w:t xml:space="preserve">p,d </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“p” piyasa katılımcısının, “d” gününde mevcut açık pozisyonları ve teklifleri için hesaplanan kontrat teminatını (TL), </w:t>
      </w:r>
    </w:p>
    <w:p w14:paraId="6700A74D"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NZ</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“i” kontratına ilişkin “d” gününde netleştirme sonucu hesaplanan net zararını (TL), </w:t>
      </w:r>
    </w:p>
    <w:p w14:paraId="1F1F2119"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TPgGT</w:t>
      </w:r>
      <w:r w:rsidRPr="00E4115B">
        <w:rPr>
          <w:rFonts w:ascii="Times New Roman" w:hAnsi="Times New Roman" w:cs="Times New Roman"/>
          <w:sz w:val="24"/>
          <w:szCs w:val="24"/>
          <w:vertAlign w:val="subscript"/>
        </w:rPr>
        <w:t xml:space="preserve">p,d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mevcut açık pozisyonları için hesaplanan toplam piyasaya göre güncelleme teminatı tutarını (TL), </w:t>
      </w:r>
    </w:p>
    <w:p w14:paraId="084573AF"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TYPTİ</w:t>
      </w:r>
      <w:r w:rsidRPr="00E4115B">
        <w:rPr>
          <w:rFonts w:ascii="Times New Roman" w:hAnsi="Times New Roman" w:cs="Times New Roman"/>
          <w:sz w:val="24"/>
          <w:szCs w:val="24"/>
          <w:vertAlign w:val="subscript"/>
        </w:rPr>
        <w:t xml:space="preserve">p,d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hesaplanan tam yayılma pozisyonu teminat indirimi tutarını (TL), </w:t>
      </w:r>
    </w:p>
    <w:p w14:paraId="6B73AB81"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n  :</w:t>
      </w:r>
      <w:r w:rsidRPr="00E4115B">
        <w:rPr>
          <w:rFonts w:ascii="Times New Roman" w:hAnsi="Times New Roman" w:cs="Times New Roman"/>
          <w:sz w:val="24"/>
          <w:szCs w:val="24"/>
        </w:rPr>
        <w:tab/>
        <w:t>Piyasa katılımcılarının pozisyon sahibi olduğu kontrat sayısını,</w:t>
      </w:r>
    </w:p>
    <w:p w14:paraId="4F877723"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1AF25C8C" w14:textId="77777777" w:rsidR="00641082" w:rsidRPr="00E4115B" w:rsidRDefault="00641082" w:rsidP="00C63473">
      <w:pPr>
        <w:jc w:val="both"/>
        <w:rPr>
          <w:rFonts w:ascii="Times New Roman" w:hAnsi="Times New Roman" w:cs="Times New Roman"/>
          <w:sz w:val="24"/>
          <w:szCs w:val="24"/>
        </w:rPr>
      </w:pPr>
    </w:p>
    <w:p w14:paraId="5ED530BD" w14:textId="77777777" w:rsidR="00641082" w:rsidRPr="00E4115B" w:rsidRDefault="00641082" w:rsidP="00AB07A1">
      <w:pPr>
        <w:pStyle w:val="Balk2"/>
      </w:pPr>
      <w:bookmarkStart w:id="71" w:name="_Toc64755963"/>
      <w:r w:rsidRPr="00E4115B">
        <w:t>Kontrat Teminatı</w:t>
      </w:r>
      <w:bookmarkEnd w:id="71"/>
    </w:p>
    <w:p w14:paraId="33BBA03F" w14:textId="77777777" w:rsidR="00641082" w:rsidRPr="00E4115B" w:rsidRDefault="00641082" w:rsidP="00AB07A1">
      <w:pPr>
        <w:pStyle w:val="Balk3"/>
        <w:ind w:left="0" w:hanging="11"/>
        <w:rPr>
          <w:b w:val="0"/>
        </w:rPr>
      </w:pPr>
      <w:r w:rsidRPr="00E4115B">
        <w:rPr>
          <w:b w:val="0"/>
        </w:rPr>
        <w:t xml:space="preserve">Piyasa katılımcısının VGP’de uzun veya kısa pozisyon sahibi olabilmesi için sunması gereken teminat tutarıdır. </w:t>
      </w:r>
    </w:p>
    <w:p w14:paraId="3FFF65B5" w14:textId="77777777" w:rsidR="00641082" w:rsidRPr="00E4115B" w:rsidRDefault="00AB07A1" w:rsidP="00AB07A1">
      <w:pPr>
        <w:pStyle w:val="Balk3"/>
        <w:ind w:left="0" w:hanging="11"/>
        <w:rPr>
          <w:b w:val="0"/>
        </w:rPr>
      </w:pPr>
      <w:r w:rsidRPr="00E4115B">
        <w:rPr>
          <w:b w:val="0"/>
        </w:rPr>
        <w:t>K</w:t>
      </w:r>
      <w:r w:rsidR="00641082" w:rsidRPr="00E4115B">
        <w:rPr>
          <w:b w:val="0"/>
        </w:rPr>
        <w:t>ontrat teminatı aşağıdaki formüllere göre hesaplanır;</w:t>
      </w:r>
    </w:p>
    <w:p w14:paraId="43ED9BE8" w14:textId="77777777" w:rsidR="00641082" w:rsidRPr="00E4115B" w:rsidRDefault="00F92C1E"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KT</m:t>
              </m:r>
            </m:e>
            <m:sub>
              <m:r>
                <m:rPr>
                  <m:sty m:val="p"/>
                </m:rPr>
                <w:rPr>
                  <w:rFonts w:ascii="Cambria Math" w:hAnsi="Cambria Math" w:cs="Times New Roman"/>
                  <w:sz w:val="24"/>
                  <w:szCs w:val="24"/>
                </w:rPr>
                <m:t>p,d,i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AF</m:t>
              </m:r>
            </m:e>
            <m:sub>
              <m:r>
                <m:rPr>
                  <m:sty m:val="p"/>
                </m:rPr>
                <w:rPr>
                  <w:rFonts w:ascii="Cambria Math" w:hAnsi="Cambria Math" w:cs="Times New Roman"/>
                  <w:sz w:val="24"/>
                  <w:szCs w:val="24"/>
                </w:rPr>
                <m:t>d,i</m:t>
              </m:r>
            </m:sub>
          </m:sSub>
          <m:r>
            <m:rPr>
              <m:sty m:val="p"/>
            </m:rPr>
            <w:rPr>
              <w:rFonts w:ascii="Cambria Math" w:hAnsi="Cambria Math" w:cs="Times New Roman"/>
              <w:sz w:val="24"/>
              <w:szCs w:val="24"/>
            </w:rPr>
            <m:t>×</m:t>
          </m:r>
          <m:d>
            <m:dPr>
              <m:begChr m:val="["/>
              <m:endChr m:val="]"/>
              <m:ctrlPr>
                <w:rPr>
                  <w:rFonts w:ascii="Cambria Math" w:hAnsi="Cambria Math" w:cs="Times New Roman"/>
                  <w:iCs/>
                  <w:sz w:val="24"/>
                  <w:szCs w:val="24"/>
                </w:rPr>
              </m:ctrlPr>
            </m:dPr>
            <m:e>
              <m:sSup>
                <m:sSupPr>
                  <m:ctrlPr>
                    <w:rPr>
                      <w:rFonts w:ascii="Cambria Math" w:hAnsi="Cambria Math" w:cs="Times New Roman"/>
                      <w:iCs/>
                      <w:sz w:val="24"/>
                      <w:szCs w:val="24"/>
                    </w:rPr>
                  </m:ctrlPr>
                </m:sSupPr>
                <m:e>
                  <m:d>
                    <m:dPr>
                      <m:ctrlPr>
                        <w:rPr>
                          <w:rFonts w:ascii="Cambria Math" w:hAnsi="Cambria Math" w:cs="Times New Roman"/>
                          <w:iCs/>
                          <w:sz w:val="24"/>
                          <w:szCs w:val="24"/>
                        </w:rPr>
                      </m:ctrlPr>
                    </m:dPr>
                    <m:e>
                      <m:r>
                        <m:rPr>
                          <m:sty m:val="p"/>
                        </m:rPr>
                        <w:rPr>
                          <w:rFonts w:ascii="Cambria Math" w:hAnsi="Cambria Math" w:cs="Times New Roman"/>
                          <w:sz w:val="24"/>
                          <w:szCs w:val="24"/>
                        </w:rPr>
                        <m:t>1+</m:t>
                      </m:r>
                      <m:sSub>
                        <m:sSubPr>
                          <m:ctrlPr>
                            <w:rPr>
                              <w:rFonts w:ascii="Cambria Math" w:hAnsi="Cambria Math" w:cs="Times New Roman"/>
                              <w:iCs/>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i</m:t>
                          </m:r>
                        </m:sub>
                      </m:sSub>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-1</m:t>
              </m:r>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p,i</m:t>
              </m:r>
            </m:sub>
          </m:sSub>
          <m:r>
            <m:rPr>
              <m:sty m:val="p"/>
            </m:rPr>
            <w:rPr>
              <w:rFonts w:ascii="Cambria Math" w:hAnsi="Cambria Math" w:cs="Times New Roman"/>
              <w:sz w:val="24"/>
              <w:szCs w:val="24"/>
            </w:rPr>
            <m:t xml:space="preserve">      (2)</m:t>
          </m:r>
        </m:oMath>
      </m:oMathPara>
    </w:p>
    <w:p w14:paraId="0D82F43E" w14:textId="77777777" w:rsidR="00641082" w:rsidRPr="00E4115B" w:rsidRDefault="00641082" w:rsidP="00C63473">
      <w:pPr>
        <w:jc w:val="both"/>
        <w:rPr>
          <w:rFonts w:ascii="Times New Roman" w:hAnsi="Times New Roman" w:cs="Times New Roman"/>
          <w:sz w:val="24"/>
          <w:szCs w:val="24"/>
        </w:rPr>
      </w:pPr>
    </w:p>
    <w:p w14:paraId="73E0A3A5"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Yukarıdaki formülde geçen;</w:t>
      </w:r>
    </w:p>
    <w:p w14:paraId="0BF2E8D5"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KT</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 hesaplanan “i” kontratına ilişkin kontrat teminatını, </w:t>
      </w:r>
    </w:p>
    <w:p w14:paraId="00DAD879"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AF</w:t>
      </w:r>
      <w:r w:rsidRPr="00E4115B">
        <w:rPr>
          <w:rFonts w:ascii="Times New Roman" w:hAnsi="Times New Roman" w:cs="Times New Roman"/>
          <w:sz w:val="24"/>
          <w:szCs w:val="24"/>
          <w:vertAlign w:val="subscript"/>
        </w:rPr>
        <w:t>d,i</w:t>
      </w:r>
      <w:r w:rsidRPr="00E4115B">
        <w:rPr>
          <w:rFonts w:ascii="Times New Roman" w:hAnsi="Times New Roman" w:cs="Times New Roman"/>
          <w:sz w:val="24"/>
          <w:szCs w:val="24"/>
        </w:rPr>
        <w:tab/>
        <w:t>:</w:t>
      </w:r>
      <w:r w:rsidRPr="00E4115B">
        <w:rPr>
          <w:rFonts w:ascii="Times New Roman" w:hAnsi="Times New Roman" w:cs="Times New Roman"/>
          <w:sz w:val="24"/>
          <w:szCs w:val="24"/>
        </w:rPr>
        <w:tab/>
        <w:t>“d” günü için “i” kontratına ilişkin güncel açılış fiyatını,</w:t>
      </w:r>
    </w:p>
    <w:p w14:paraId="66AF4A0F"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A</w:t>
      </w:r>
      <w:r w:rsidRPr="00E4115B">
        <w:rPr>
          <w:rFonts w:ascii="Times New Roman" w:hAnsi="Times New Roman" w:cs="Times New Roman"/>
          <w:sz w:val="24"/>
          <w:szCs w:val="24"/>
          <w:vertAlign w:val="subscript"/>
        </w:rPr>
        <w:t>i</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“i” kontratının madde 10.5.3 uyarınca belirlenen günlük fiyat değişim oranını, </w:t>
      </w:r>
    </w:p>
    <w:p w14:paraId="6DB912D0"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 xml:space="preserve">p,i </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“i” kontratına ait teklifi ve/veya pozisyonuna göre teminat hesaplamasında kullanılacak miktarı, </w:t>
      </w:r>
    </w:p>
    <w:p w14:paraId="7013BA68"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i</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“i” kontratının teslimat dönemini kapsayan gaz günü sayısını </w:t>
      </w:r>
    </w:p>
    <w:p w14:paraId="3FE329EF"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08CC7CEF" w14:textId="77777777" w:rsidR="00641082" w:rsidRPr="00E4115B" w:rsidRDefault="00641082" w:rsidP="00C63473">
      <w:pPr>
        <w:jc w:val="both"/>
        <w:rPr>
          <w:rFonts w:ascii="Times New Roman" w:hAnsi="Times New Roman" w:cs="Times New Roman"/>
          <w:sz w:val="24"/>
          <w:szCs w:val="24"/>
        </w:rPr>
      </w:pPr>
    </w:p>
    <w:p w14:paraId="27E19EC3" w14:textId="77777777" w:rsidR="00641082" w:rsidRPr="00E4115B" w:rsidRDefault="00641082" w:rsidP="00AB07A1">
      <w:pPr>
        <w:pStyle w:val="Balk3"/>
        <w:ind w:left="0" w:hanging="11"/>
        <w:rPr>
          <w:b w:val="0"/>
        </w:rPr>
      </w:pPr>
      <w:r w:rsidRPr="00E4115B">
        <w:rPr>
          <w:b w:val="0"/>
        </w:rPr>
        <w:t xml:space="preserve">Piyasa katılımcılarının kontrat teminatı formülünde yer alan M, net pozisyon miktarları, teklifler ve teklif yönleri dikkate alınarak aşağıdaki koşullar uyarınca hesaplanır; </w:t>
      </w:r>
    </w:p>
    <w:p w14:paraId="159472B0"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a. Yeni verilen teklifin yönü, eşleşmeler sonucu oluşan mevcut net pozisyon yönü ile aynı ise M, teklif miktarı kadar artırılır.</w:t>
      </w:r>
    </w:p>
    <w:p w14:paraId="7B00873A"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Yeni verilen teklifin yönü, hesaplanan mevcut net pozisyon miktarı ile ters yönlü ise önce teklif ve net pozisyon miktarları </w:t>
      </w:r>
      <w:r w:rsidRPr="00121BE2">
        <w:rPr>
          <w:rFonts w:ascii="Times New Roman" w:hAnsi="Times New Roman" w:cs="Times New Roman"/>
          <w:sz w:val="24"/>
          <w:szCs w:val="24"/>
        </w:rPr>
        <w:t xml:space="preserve">netleştirilir. Yapılan netleştirme sonucu oluşan M, </w:t>
      </w:r>
      <w:r w:rsidRPr="00E4115B">
        <w:rPr>
          <w:rFonts w:ascii="Times New Roman" w:hAnsi="Times New Roman" w:cs="Times New Roman"/>
          <w:sz w:val="24"/>
          <w:szCs w:val="24"/>
        </w:rPr>
        <w:t>yeni teklif girilmeden önce hesaplanan M’den büyük ise netleştirme sonucu dikkate alınır, değil ise yeni teklif girilmeden önce oluşan M dikkate alınır.</w:t>
      </w:r>
    </w:p>
    <w:p w14:paraId="5E50AC3D" w14:textId="77777777" w:rsidR="00641082" w:rsidRPr="00E4115B" w:rsidRDefault="00641082" w:rsidP="00AB07A1">
      <w:pPr>
        <w:pStyle w:val="Balk3"/>
        <w:rPr>
          <w:b w:val="0"/>
        </w:rPr>
      </w:pPr>
      <w:r w:rsidRPr="00E4115B">
        <w:rPr>
          <w:b w:val="0"/>
        </w:rPr>
        <w:t xml:space="preserve">Teklif kaydı yapılabilmesi için; </w:t>
      </w:r>
    </w:p>
    <w:p w14:paraId="57EC76DA"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a. İlgili teklifin, aynı kontrata ilişkin ters yönlü mevcut net pozisyon ile netleştirilebilme durumuna ilişkin oluşabilecek net zarar tutarı,</w:t>
      </w:r>
    </w:p>
    <w:p w14:paraId="2598691B"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İlgili teklifin, tam yayılma pozisyonu teminat indiriminin uygulanmasını geçersiz kılacak olması durumu, </w:t>
      </w:r>
    </w:p>
    <w:p w14:paraId="6304F777"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göz önünde bulundurularak, teklif miktarı üzerinden güncellenen kontrat teminatı ve bulundurulması gereken toplam teminatın sunulmuş olduğu kontrol edilir.</w:t>
      </w:r>
    </w:p>
    <w:p w14:paraId="50967515" w14:textId="77777777" w:rsidR="000F6B17" w:rsidRPr="00E4115B" w:rsidRDefault="000F6B17" w:rsidP="00AB07A1">
      <w:pPr>
        <w:pStyle w:val="Balk2"/>
      </w:pPr>
      <w:bookmarkStart w:id="72" w:name="_Toc64755964"/>
      <w:r w:rsidRPr="00E4115B">
        <w:t>Net Zarar Hesabı</w:t>
      </w:r>
      <w:bookmarkEnd w:id="72"/>
    </w:p>
    <w:p w14:paraId="37169333" w14:textId="77777777" w:rsidR="000F6B17" w:rsidRPr="00E4115B" w:rsidRDefault="000F6B17" w:rsidP="00AB07A1">
      <w:pPr>
        <w:pStyle w:val="Balk3"/>
        <w:ind w:left="0" w:hanging="11"/>
        <w:rPr>
          <w:b w:val="0"/>
        </w:rPr>
      </w:pPr>
      <w:r w:rsidRPr="00E4115B">
        <w:rPr>
          <w:b w:val="0"/>
        </w:rPr>
        <w:t>İlgili kontrat için pozisyonların netleştirilmesi sonucu piyasa katılımcılarının eşleşme fiyatları üzerinden belirlenen net zarar hesabı yapılır.</w:t>
      </w:r>
    </w:p>
    <w:p w14:paraId="7819ECEE" w14:textId="77777777" w:rsidR="000F6B17" w:rsidRPr="00E4115B" w:rsidRDefault="000F6B17" w:rsidP="00C63473">
      <w:pPr>
        <w:pStyle w:val="Balk3"/>
        <w:ind w:left="0" w:hanging="11"/>
        <w:rPr>
          <w:b w:val="0"/>
        </w:rPr>
      </w:pPr>
      <w:r w:rsidRPr="00E4115B">
        <w:rPr>
          <w:b w:val="0"/>
        </w:rPr>
        <w:t>Net zarar hesabı aşağıdaki formüllere göre hesaplanır;</w:t>
      </w:r>
    </w:p>
    <w:p w14:paraId="15A36BC3" w14:textId="39268F9C" w:rsidR="000F6B17" w:rsidRPr="00E4115B" w:rsidRDefault="00F92C1E"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NKZ</m:t>
              </m:r>
            </m:e>
            <m:sub>
              <m:r>
                <m:rPr>
                  <m:sty m:val="p"/>
                </m:rPr>
                <w:rPr>
                  <w:rFonts w:ascii="Cambria Math" w:hAnsi="Cambria Math" w:cs="Times New Roman"/>
                  <w:sz w:val="24"/>
                  <w:szCs w:val="24"/>
                </w:rPr>
                <m:t>p, d, i</m:t>
              </m:r>
            </m:sub>
          </m:sSub>
          <m:r>
            <m:rPr>
              <m:sty m:val="p"/>
            </m:rPr>
            <w:rPr>
              <w:rFonts w:ascii="Cambria Math" w:hAnsi="Cambria Math" w:cs="Times New Roman"/>
              <w:sz w:val="24"/>
              <w:szCs w:val="24"/>
            </w:rPr>
            <m:t xml:space="preserve">=min </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u</m:t>
                  </m:r>
                </m:sub>
              </m:sSub>
              <m:r>
                <m:rPr>
                  <m:sty m:val="p"/>
                </m:rP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k</m:t>
                  </m:r>
                </m:sub>
              </m:sSub>
            </m:e>
          </m:d>
          <m:r>
            <m:rPr>
              <m:sty m:val="p"/>
            </m:rPr>
            <w:rPr>
              <w:rFonts w:ascii="Cambria Math" w:hAnsi="Cambria Math" w:cs="Times New Roman"/>
              <w:sz w:val="24"/>
              <w:szCs w:val="24"/>
            </w:rPr>
            <m:t>×</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EF</m:t>
                  </m:r>
                </m:e>
                <m:sub>
                  <m:r>
                    <m:rPr>
                      <m:sty m:val="p"/>
                    </m:rPr>
                    <w:rPr>
                      <w:rFonts w:ascii="Cambria Math" w:hAnsi="Cambria Math" w:cs="Times New Roman"/>
                      <w:sz w:val="24"/>
                      <w:szCs w:val="24"/>
                    </w:rPr>
                    <m:t>p, i, k</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EF</m:t>
                  </m:r>
                </m:e>
                <m:sub>
                  <m:r>
                    <m:rPr>
                      <m:sty m:val="p"/>
                    </m:rPr>
                    <w:rPr>
                      <w:rFonts w:ascii="Cambria Math" w:hAnsi="Cambria Math" w:cs="Times New Roman"/>
                      <w:sz w:val="24"/>
                      <w:szCs w:val="24"/>
                    </w:rPr>
                    <m:t>p, i, u</m:t>
                  </m:r>
                </m:sub>
              </m:sSub>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d>
            <m:dPr>
              <m:ctrlPr>
                <w:rPr>
                  <w:rFonts w:ascii="Cambria Math" w:hAnsi="Cambria Math" w:cs="Times New Roman"/>
                  <w:iCs/>
                  <w:sz w:val="24"/>
                  <w:szCs w:val="24"/>
                </w:rPr>
              </m:ctrlPr>
            </m:dPr>
            <m:e>
              <m:r>
                <m:rPr>
                  <m:sty m:val="p"/>
                </m:rPr>
                <w:rPr>
                  <w:rFonts w:ascii="Cambria Math" w:hAnsi="Cambria Math" w:cs="Times New Roman"/>
                  <w:sz w:val="24"/>
                  <w:szCs w:val="24"/>
                </w:rPr>
                <m:t>3</m:t>
              </m:r>
            </m:e>
          </m:d>
        </m:oMath>
      </m:oMathPara>
    </w:p>
    <w:p w14:paraId="3969D0B6"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a. NKZ</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&gt; 0 ise</w:t>
      </w:r>
      <w:r w:rsidRPr="00E4115B">
        <w:rPr>
          <w:rFonts w:ascii="Times New Roman" w:hAnsi="Times New Roman" w:cs="Times New Roman"/>
          <w:sz w:val="24"/>
          <w:szCs w:val="24"/>
        </w:rPr>
        <w:tab/>
        <w:t>NZ</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 0</w:t>
      </w:r>
      <w:r w:rsidRPr="00E4115B">
        <w:rPr>
          <w:rFonts w:ascii="Times New Roman" w:hAnsi="Times New Roman" w:cs="Times New Roman"/>
          <w:sz w:val="24"/>
          <w:szCs w:val="24"/>
        </w:rPr>
        <w:tab/>
        <w:t>NK</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 NKZ</w:t>
      </w:r>
      <w:r w:rsidRPr="00E4115B">
        <w:rPr>
          <w:rFonts w:ascii="Times New Roman" w:hAnsi="Times New Roman" w:cs="Times New Roman"/>
          <w:sz w:val="24"/>
          <w:szCs w:val="24"/>
          <w:vertAlign w:val="subscript"/>
        </w:rPr>
        <w:t>p,d,i</w:t>
      </w:r>
    </w:p>
    <w:p w14:paraId="2B78AACA"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b. NKZ</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&lt; 0 ise</w:t>
      </w:r>
      <w:r w:rsidRPr="00E4115B">
        <w:rPr>
          <w:rFonts w:ascii="Times New Roman" w:hAnsi="Times New Roman" w:cs="Times New Roman"/>
          <w:sz w:val="24"/>
          <w:szCs w:val="24"/>
        </w:rPr>
        <w:tab/>
        <w:t>NZ</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 NKZ</w:t>
      </w:r>
      <w:r w:rsidRPr="00E4115B">
        <w:rPr>
          <w:rFonts w:ascii="Times New Roman" w:hAnsi="Times New Roman" w:cs="Times New Roman"/>
          <w:sz w:val="24"/>
          <w:szCs w:val="24"/>
          <w:vertAlign w:val="subscript"/>
        </w:rPr>
        <w:t>p,d,i</w:t>
      </w:r>
    </w:p>
    <w:p w14:paraId="4F3CC499" w14:textId="77777777" w:rsidR="000F6B17" w:rsidRPr="00E4115B" w:rsidRDefault="000F6B17" w:rsidP="00C63473">
      <w:pPr>
        <w:jc w:val="both"/>
        <w:rPr>
          <w:rFonts w:ascii="Times New Roman" w:hAnsi="Times New Roman" w:cs="Times New Roman"/>
          <w:sz w:val="24"/>
          <w:szCs w:val="24"/>
        </w:rPr>
      </w:pPr>
    </w:p>
    <w:p w14:paraId="694F0AC7"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Yukarıdaki formülde geçen;</w:t>
      </w:r>
    </w:p>
    <w:p w14:paraId="185D7566"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NKZ</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“i” kontratına ilişkin “d” gününde netleştirme sonucu hesaplanan net kar ya da zararını, </w:t>
      </w:r>
    </w:p>
    <w:p w14:paraId="546D7C41"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p,u</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Uzun pozisyon sahibi “p” piyasa katılımcısının “i” kontratında sahip olduğu pozisyonun miktarını, </w:t>
      </w:r>
    </w:p>
    <w:p w14:paraId="0744BE48"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p,k</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Kısa pozisyon sahibi “p” piyasa katılımcısının “i” kontratında sahip olduğu pozisyonun miktarını, </w:t>
      </w:r>
    </w:p>
    <w:p w14:paraId="73447C83"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EF</w:t>
      </w:r>
      <w:r w:rsidRPr="00E4115B">
        <w:rPr>
          <w:rFonts w:ascii="Times New Roman" w:hAnsi="Times New Roman" w:cs="Times New Roman"/>
          <w:sz w:val="24"/>
          <w:szCs w:val="24"/>
          <w:vertAlign w:val="subscript"/>
        </w:rPr>
        <w:t xml:space="preserve">p,i,k  </w:t>
      </w:r>
      <w:r w:rsidRPr="00E4115B">
        <w:rPr>
          <w:rFonts w:ascii="Times New Roman" w:hAnsi="Times New Roman" w:cs="Times New Roman"/>
          <w:sz w:val="24"/>
          <w:szCs w:val="24"/>
        </w:rPr>
        <w:t>:</w:t>
      </w:r>
      <w:r w:rsidRPr="00E4115B">
        <w:rPr>
          <w:rFonts w:ascii="Times New Roman" w:hAnsi="Times New Roman" w:cs="Times New Roman"/>
          <w:sz w:val="24"/>
          <w:szCs w:val="24"/>
        </w:rPr>
        <w:tab/>
        <w:t>Kısa pozisyon sahibi “p” piyasa katılımcısının “i” kontratı için eşleşme fiyatını (TL/1000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w:t>
      </w:r>
    </w:p>
    <w:p w14:paraId="25699BD0"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EF</w:t>
      </w:r>
      <w:r w:rsidRPr="00E4115B">
        <w:rPr>
          <w:rFonts w:ascii="Times New Roman" w:hAnsi="Times New Roman" w:cs="Times New Roman"/>
          <w:sz w:val="24"/>
          <w:szCs w:val="24"/>
          <w:vertAlign w:val="subscript"/>
        </w:rPr>
        <w:t>p,i,u</w:t>
      </w:r>
      <w:r w:rsidRPr="00E4115B">
        <w:rPr>
          <w:rFonts w:ascii="Times New Roman" w:hAnsi="Times New Roman" w:cs="Times New Roman"/>
          <w:sz w:val="24"/>
          <w:szCs w:val="24"/>
          <w:vertAlign w:val="subscript"/>
        </w:rPr>
        <w:tab/>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Uzun pozisyon sahibi “p” piyasa katılımcısının “i” kontratı için eşleşme fiyatını (TL/1000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w:t>
      </w:r>
    </w:p>
    <w:p w14:paraId="5F8B3588"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i</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“i” kontratının teslimat dönemini kapsayan gaz günü sayısını, </w:t>
      </w:r>
    </w:p>
    <w:p w14:paraId="7A917A5E"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NZ</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w:t>
      </w:r>
      <w:r w:rsidRPr="00E4115B">
        <w:rPr>
          <w:rFonts w:ascii="Times New Roman" w:hAnsi="Times New Roman" w:cs="Times New Roman"/>
          <w:sz w:val="24"/>
          <w:szCs w:val="24"/>
        </w:rPr>
        <w:tab/>
        <w:t>“p” piyasa katılımcısının “i” kontratına ilişkin “d” gününde netleştirme s</w:t>
      </w:r>
      <w:r w:rsidR="00AB07A1" w:rsidRPr="00E4115B">
        <w:rPr>
          <w:rFonts w:ascii="Times New Roman" w:hAnsi="Times New Roman" w:cs="Times New Roman"/>
          <w:sz w:val="24"/>
          <w:szCs w:val="24"/>
        </w:rPr>
        <w:t xml:space="preserve">onucu hesaplanan net zararını, </w:t>
      </w:r>
    </w:p>
    <w:p w14:paraId="3A1071CB"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NK</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“i” aylık kontratına ilişkin “d” gününde netleştirme sonucu hesaplanan net karını </w:t>
      </w:r>
    </w:p>
    <w:p w14:paraId="23EA4626"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1BCD27C6" w14:textId="27D0E12B" w:rsidR="00877007" w:rsidRDefault="000F6B17" w:rsidP="00877007">
      <w:pPr>
        <w:pStyle w:val="Balk3"/>
        <w:ind w:left="0" w:hanging="11"/>
        <w:rPr>
          <w:b w:val="0"/>
        </w:rPr>
      </w:pPr>
      <w:r w:rsidRPr="00E4115B">
        <w:rPr>
          <w:b w:val="0"/>
        </w:rPr>
        <w:t>Net kar/zarar hesabı her bir eşleşme sonrası güncellenir. Güncellenmiş net zarar tutarları fatura ödemesine kadar teminat hesaplamalarında kullanılır.</w:t>
      </w:r>
    </w:p>
    <w:p w14:paraId="135AFC53" w14:textId="450C4C92" w:rsidR="00877007" w:rsidRPr="00681BF6" w:rsidRDefault="00681BF6" w:rsidP="00681BF6">
      <w:pPr>
        <w:pStyle w:val="Balk3"/>
        <w:numPr>
          <w:ilvl w:val="0"/>
          <w:numId w:val="0"/>
        </w:numPr>
        <w:rPr>
          <w:b w:val="0"/>
        </w:rPr>
      </w:pPr>
      <w:r>
        <w:t xml:space="preserve">12.5.4. </w:t>
      </w:r>
      <w:r w:rsidR="00877007" w:rsidRPr="00681BF6">
        <w:rPr>
          <w:b w:val="0"/>
        </w:rPr>
        <w:t>Net kar/zarar tutarı hesaplanırken eşleşmeler, eşleşme sırasına göre hesaplamaya dahil edilir.</w:t>
      </w:r>
    </w:p>
    <w:p w14:paraId="106C06F3" w14:textId="77777777" w:rsidR="000F6B17" w:rsidRPr="00E4115B" w:rsidRDefault="000F6B17" w:rsidP="00AB07A1">
      <w:pPr>
        <w:pStyle w:val="Balk2"/>
      </w:pPr>
      <w:bookmarkStart w:id="73" w:name="_Toc64755965"/>
      <w:r w:rsidRPr="00E4115B">
        <w:t>Pi</w:t>
      </w:r>
      <w:r w:rsidR="00AB07A1" w:rsidRPr="00E4115B">
        <w:t>yasaya Göre Güncelleme Teminatı</w:t>
      </w:r>
      <w:bookmarkEnd w:id="73"/>
    </w:p>
    <w:p w14:paraId="1B534DC7" w14:textId="77777777" w:rsidR="000F6B17" w:rsidRPr="00E4115B" w:rsidRDefault="000F6B17" w:rsidP="00AB07A1">
      <w:pPr>
        <w:pStyle w:val="Balk3"/>
        <w:ind w:left="0" w:hanging="11"/>
        <w:rPr>
          <w:b w:val="0"/>
        </w:rPr>
      </w:pPr>
      <w:r w:rsidRPr="00E4115B">
        <w:rPr>
          <w:b w:val="0"/>
        </w:rPr>
        <w:t>Piyasa katılımcılarının sahip olduğu pozisyonların ait olduğu kontratların GGF’lerinde gerçekleşen günlük değişimlere ilişki</w:t>
      </w:r>
      <w:r w:rsidR="00AB07A1" w:rsidRPr="00E4115B">
        <w:rPr>
          <w:b w:val="0"/>
        </w:rPr>
        <w:t>n hesaplanan teminat tutarıdır.</w:t>
      </w:r>
    </w:p>
    <w:p w14:paraId="65DB994B" w14:textId="77777777" w:rsidR="000F6B17" w:rsidRPr="00E4115B" w:rsidRDefault="000F6B17" w:rsidP="00AB07A1">
      <w:pPr>
        <w:pStyle w:val="Balk3"/>
        <w:ind w:left="0" w:hanging="11"/>
        <w:rPr>
          <w:b w:val="0"/>
        </w:rPr>
      </w:pPr>
      <w:r w:rsidRPr="00E4115B">
        <w:rPr>
          <w:b w:val="0"/>
        </w:rPr>
        <w:t>İlgili kontratta net kısa pozisyon sahibi piyasa katılımcılarının, piyasaya göre güncelleme teminatı tutarları aşa</w:t>
      </w:r>
      <w:r w:rsidR="00AB07A1" w:rsidRPr="00E4115B">
        <w:rPr>
          <w:b w:val="0"/>
        </w:rPr>
        <w:t>ğıdaki formüle göre hesaplanır;</w:t>
      </w:r>
    </w:p>
    <w:p w14:paraId="3494AF75" w14:textId="77777777" w:rsidR="000F6B17" w:rsidRPr="00E4115B" w:rsidRDefault="00F92C1E"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PgGT</m:t>
              </m:r>
            </m:e>
            <m:sub>
              <m:r>
                <m:rPr>
                  <m:sty m:val="p"/>
                </m:rPr>
                <w:rPr>
                  <w:rFonts w:ascii="Cambria Math" w:hAnsi="Cambria Math" w:cs="Times New Roman"/>
                  <w:sz w:val="24"/>
                  <w:szCs w:val="24"/>
                </w:rPr>
                <m:t>p, d, k</m:t>
              </m:r>
            </m:sub>
          </m:sSub>
          <m:r>
            <m:rPr>
              <m:sty m:val="p"/>
            </m:rPr>
            <w:rPr>
              <w:rFonts w:ascii="Cambria Math" w:hAnsi="Cambria Math" w:cs="Times New Roman"/>
              <w:sz w:val="24"/>
              <w:szCs w:val="24"/>
            </w:rPr>
            <m:t>=</m:t>
          </m:r>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r>
                <m:rPr>
                  <m:sty m:val="p"/>
                </m:rPr>
                <w:rPr>
                  <w:rFonts w:ascii="Cambria Math" w:hAnsi="Cambria Math" w:cs="Times New Roman"/>
                  <w:sz w:val="24"/>
                  <w:szCs w:val="24"/>
                </w:rPr>
                <m:t>[</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GGF</m:t>
                      </m:r>
                    </m:e>
                    <m:sub>
                      <m:r>
                        <m:rPr>
                          <m:sty m:val="p"/>
                        </m:rPr>
                        <w:rPr>
                          <w:rFonts w:ascii="Cambria Math" w:hAnsi="Cambria Math" w:cs="Times New Roman"/>
                          <w:sz w:val="24"/>
                          <w:szCs w:val="24"/>
                        </w:rPr>
                        <m:t>d, 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EF</m:t>
                      </m:r>
                    </m:e>
                    <m:sub>
                      <m:r>
                        <m:rPr>
                          <m:sty m:val="p"/>
                        </m:rPr>
                        <w:rPr>
                          <w:rFonts w:ascii="Cambria Math" w:hAnsi="Cambria Math" w:cs="Times New Roman"/>
                          <w:sz w:val="24"/>
                          <w:szCs w:val="24"/>
                        </w:rPr>
                        <m:t>d, i,k</m:t>
                      </m:r>
                    </m:sub>
                  </m:sSub>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i,k</m:t>
                  </m:r>
                </m:sub>
              </m:sSub>
              <m:r>
                <m:rPr>
                  <m:sty m:val="p"/>
                </m:rPr>
                <w:rPr>
                  <w:rFonts w:ascii="Cambria Math" w:hAnsi="Cambria Math" w:cs="Times New Roman"/>
                  <w:sz w:val="24"/>
                  <w:szCs w:val="24"/>
                </w:rPr>
                <m:t xml:space="preserve"> ]</m:t>
              </m:r>
            </m:e>
          </m:nary>
          <m:r>
            <m:rPr>
              <m:sty m:val="p"/>
            </m:rPr>
            <w:rPr>
              <w:rFonts w:ascii="Cambria Math" w:hAnsi="Cambria Math" w:cs="Times New Roman"/>
              <w:sz w:val="24"/>
              <w:szCs w:val="24"/>
            </w:rPr>
            <m:t xml:space="preserve"> (4a)</m:t>
          </m:r>
        </m:oMath>
      </m:oMathPara>
    </w:p>
    <w:p w14:paraId="471BF3D8" w14:textId="77777777" w:rsidR="000F6B17" w:rsidRPr="00E4115B" w:rsidRDefault="000F6B17" w:rsidP="00C63473">
      <w:pPr>
        <w:jc w:val="both"/>
        <w:rPr>
          <w:rFonts w:ascii="Times New Roman" w:hAnsi="Times New Roman" w:cs="Times New Roman"/>
          <w:sz w:val="24"/>
          <w:szCs w:val="24"/>
        </w:rPr>
      </w:pPr>
    </w:p>
    <w:p w14:paraId="1666853B"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Yukarıdaki formülde geçen;</w:t>
      </w:r>
    </w:p>
    <w:p w14:paraId="7611E127"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PgGT</w:t>
      </w:r>
      <w:r w:rsidRPr="00E4115B">
        <w:rPr>
          <w:rFonts w:ascii="Times New Roman" w:hAnsi="Times New Roman" w:cs="Times New Roman"/>
          <w:sz w:val="24"/>
          <w:szCs w:val="24"/>
          <w:vertAlign w:val="subscript"/>
        </w:rPr>
        <w:t>p,d,k</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“d” gününde sahip olduğu kısa pozisyonları için hesaplanan piyasaya göre güncelleme teminatı tutarını, </w:t>
      </w:r>
    </w:p>
    <w:p w14:paraId="26F78244"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GGF</w:t>
      </w:r>
      <w:r w:rsidRPr="00E4115B">
        <w:rPr>
          <w:rFonts w:ascii="Times New Roman" w:hAnsi="Times New Roman" w:cs="Times New Roman"/>
          <w:sz w:val="24"/>
          <w:szCs w:val="24"/>
          <w:vertAlign w:val="subscript"/>
        </w:rPr>
        <w:t>d,i</w:t>
      </w:r>
      <w:r w:rsidRPr="00E4115B">
        <w:rPr>
          <w:rFonts w:ascii="Times New Roman" w:hAnsi="Times New Roman" w:cs="Times New Roman"/>
          <w:sz w:val="24"/>
          <w:szCs w:val="24"/>
        </w:rPr>
        <w:tab/>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“d” günü sonunda ilan edilen “i” kontratına ilişkin GGF’yi, </w:t>
      </w:r>
    </w:p>
    <w:p w14:paraId="004D302A"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 xml:space="preserve"> EF</w:t>
      </w:r>
      <w:r w:rsidRPr="00E4115B">
        <w:rPr>
          <w:rFonts w:ascii="Times New Roman" w:hAnsi="Times New Roman" w:cs="Times New Roman"/>
          <w:sz w:val="24"/>
          <w:szCs w:val="24"/>
          <w:vertAlign w:val="subscript"/>
        </w:rPr>
        <w:t xml:space="preserve">d,i,k </w:t>
      </w:r>
      <w:r w:rsidRPr="00E4115B">
        <w:rPr>
          <w:rFonts w:ascii="Times New Roman" w:hAnsi="Times New Roman" w:cs="Times New Roman"/>
          <w:sz w:val="24"/>
          <w:szCs w:val="24"/>
        </w:rPr>
        <w:tab/>
        <w:t>:</w:t>
      </w:r>
      <w:r w:rsidRPr="00E4115B">
        <w:rPr>
          <w:rFonts w:ascii="Times New Roman" w:hAnsi="Times New Roman" w:cs="Times New Roman"/>
          <w:sz w:val="24"/>
          <w:szCs w:val="24"/>
        </w:rPr>
        <w:tab/>
        <w:t>“d” gününde “i” kontratında sahip olunan net kısa pozisyonlara ilişkin eşleşme fiyatlarının ağırlıklı ortalamasını,</w:t>
      </w:r>
    </w:p>
    <w:p w14:paraId="2C3D7D59"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p,i,k</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“i” kontratında sahip olduğu net kısa pozisyon miktarını, </w:t>
      </w:r>
    </w:p>
    <w:p w14:paraId="4DFE7AC0"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 xml:space="preserve">i </w:t>
      </w:r>
      <w:r w:rsidRPr="00E4115B">
        <w:rPr>
          <w:rFonts w:ascii="Times New Roman" w:hAnsi="Times New Roman" w:cs="Times New Roman"/>
          <w:sz w:val="24"/>
          <w:szCs w:val="24"/>
        </w:rPr>
        <w:tab/>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“i” kontratının teslimat dönemini kapsayan gaz günü sayısını, </w:t>
      </w:r>
    </w:p>
    <w:p w14:paraId="36B8018D"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n</w:t>
      </w:r>
      <w:r w:rsidRPr="00E4115B">
        <w:rPr>
          <w:rFonts w:ascii="Times New Roman" w:hAnsi="Times New Roman" w:cs="Times New Roman"/>
          <w:sz w:val="24"/>
          <w:szCs w:val="24"/>
        </w:rPr>
        <w:tab/>
      </w:r>
      <w:r w:rsidRPr="00E4115B">
        <w:rPr>
          <w:rFonts w:ascii="Times New Roman" w:hAnsi="Times New Roman" w:cs="Times New Roman"/>
          <w:sz w:val="24"/>
          <w:szCs w:val="24"/>
        </w:rPr>
        <w:tab/>
        <w:t>:</w:t>
      </w:r>
      <w:r w:rsidRPr="00E4115B">
        <w:rPr>
          <w:rFonts w:ascii="Times New Roman" w:hAnsi="Times New Roman" w:cs="Times New Roman"/>
          <w:sz w:val="24"/>
          <w:szCs w:val="24"/>
        </w:rPr>
        <w:tab/>
        <w:t>Teminat hesaplamasının yapıldığı kontrat sayısını</w:t>
      </w:r>
    </w:p>
    <w:p w14:paraId="4C2043FB"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0CDCD226" w14:textId="77777777" w:rsidR="000F6B17" w:rsidRPr="00E4115B" w:rsidRDefault="000F6B17" w:rsidP="00C63473">
      <w:pPr>
        <w:jc w:val="both"/>
        <w:rPr>
          <w:rFonts w:ascii="Times New Roman" w:hAnsi="Times New Roman" w:cs="Times New Roman"/>
          <w:sz w:val="24"/>
          <w:szCs w:val="24"/>
        </w:rPr>
      </w:pPr>
    </w:p>
    <w:p w14:paraId="0E76A6BE" w14:textId="77777777" w:rsidR="000F6B17" w:rsidRPr="00E4115B" w:rsidRDefault="000F6B17" w:rsidP="00AB07A1">
      <w:pPr>
        <w:pStyle w:val="Balk3"/>
        <w:ind w:left="0" w:hanging="11"/>
        <w:rPr>
          <w:b w:val="0"/>
        </w:rPr>
      </w:pPr>
      <w:r w:rsidRPr="00E4115B">
        <w:rPr>
          <w:b w:val="0"/>
        </w:rPr>
        <w:t>İlgili kontratta net uzun pozisyon sahibi piyasa katılımcılarının, piyasaya göre güncelleme teminatı tutarları aşağıdaki formüle göre hesaplanır;</w:t>
      </w:r>
    </w:p>
    <w:p w14:paraId="78E77D91" w14:textId="77777777" w:rsidR="000F6B17" w:rsidRPr="00E4115B" w:rsidRDefault="00F92C1E"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PgGT</m:t>
              </m:r>
            </m:e>
            <m:sub>
              <m:r>
                <m:rPr>
                  <m:sty m:val="p"/>
                </m:rPr>
                <w:rPr>
                  <w:rFonts w:ascii="Cambria Math" w:hAnsi="Cambria Math" w:cs="Times New Roman"/>
                  <w:sz w:val="24"/>
                  <w:szCs w:val="24"/>
                </w:rPr>
                <m:t>p, d, u</m:t>
              </m:r>
            </m:sub>
          </m:sSub>
          <m:r>
            <m:rPr>
              <m:sty m:val="p"/>
            </m:rPr>
            <w:rPr>
              <w:rFonts w:ascii="Cambria Math" w:hAnsi="Cambria Math" w:cs="Times New Roman"/>
              <w:sz w:val="24"/>
              <w:szCs w:val="24"/>
            </w:rPr>
            <m:t>=</m:t>
          </m:r>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r>
                <m:rPr>
                  <m:sty m:val="p"/>
                </m:rPr>
                <w:rPr>
                  <w:rFonts w:ascii="Cambria Math" w:hAnsi="Cambria Math" w:cs="Times New Roman"/>
                  <w:sz w:val="24"/>
                  <w:szCs w:val="24"/>
                </w:rPr>
                <m:t>[</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EF</m:t>
                      </m:r>
                    </m:e>
                    <m:sub>
                      <m:r>
                        <m:rPr>
                          <m:sty m:val="p"/>
                        </m:rPr>
                        <w:rPr>
                          <w:rFonts w:ascii="Cambria Math" w:hAnsi="Cambria Math" w:cs="Times New Roman"/>
                          <w:sz w:val="24"/>
                          <w:szCs w:val="24"/>
                        </w:rPr>
                        <m:t>d, i,u</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GGF</m:t>
                      </m:r>
                    </m:e>
                    <m:sub>
                      <m:r>
                        <m:rPr>
                          <m:sty m:val="p"/>
                        </m:rPr>
                        <w:rPr>
                          <w:rFonts w:ascii="Cambria Math" w:hAnsi="Cambria Math" w:cs="Times New Roman"/>
                          <w:sz w:val="24"/>
                          <w:szCs w:val="24"/>
                        </w:rPr>
                        <m:t>d, i</m:t>
                      </m:r>
                    </m:sub>
                  </m:sSub>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i,u</m:t>
                  </m:r>
                </m:sub>
              </m:sSub>
              <m:r>
                <m:rPr>
                  <m:sty m:val="p"/>
                </m:rPr>
                <w:rPr>
                  <w:rFonts w:ascii="Cambria Math" w:hAnsi="Cambria Math" w:cs="Times New Roman"/>
                  <w:sz w:val="24"/>
                  <w:szCs w:val="24"/>
                </w:rPr>
                <m:t xml:space="preserve"> </m:t>
              </m:r>
            </m:e>
          </m:nary>
          <m:r>
            <m:rPr>
              <m:sty m:val="p"/>
            </m:rPr>
            <w:rPr>
              <w:rFonts w:ascii="Cambria Math" w:hAnsi="Cambria Math" w:cs="Times New Roman"/>
              <w:sz w:val="24"/>
              <w:szCs w:val="24"/>
            </w:rPr>
            <m:t>] (4b)</m:t>
          </m:r>
        </m:oMath>
      </m:oMathPara>
    </w:p>
    <w:p w14:paraId="63C92CDE"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Yukarıdaki formülde geçen;</w:t>
      </w:r>
    </w:p>
    <w:p w14:paraId="37CB30F7"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PgGT</w:t>
      </w:r>
      <w:r w:rsidRPr="00E4115B">
        <w:rPr>
          <w:rFonts w:ascii="Times New Roman" w:hAnsi="Times New Roman" w:cs="Times New Roman"/>
          <w:sz w:val="24"/>
          <w:szCs w:val="24"/>
          <w:vertAlign w:val="subscript"/>
        </w:rPr>
        <w:t>p,d,u</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“d” gününde sahip olduğu uzun pozisyonları için hesaplanan piyasaya göre güncelleme teminatı tutarını, </w:t>
      </w:r>
    </w:p>
    <w:p w14:paraId="0922584A"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EF</w:t>
      </w:r>
      <w:r w:rsidRPr="00E4115B">
        <w:rPr>
          <w:rFonts w:ascii="Times New Roman" w:hAnsi="Times New Roman" w:cs="Times New Roman"/>
          <w:sz w:val="24"/>
          <w:szCs w:val="24"/>
          <w:vertAlign w:val="subscript"/>
        </w:rPr>
        <w:t xml:space="preserve">d,i,u </w:t>
      </w:r>
      <w:r w:rsidRPr="00E4115B">
        <w:rPr>
          <w:rFonts w:ascii="Times New Roman" w:hAnsi="Times New Roman" w:cs="Times New Roman"/>
          <w:sz w:val="24"/>
          <w:szCs w:val="24"/>
        </w:rPr>
        <w:tab/>
        <w:t>:</w:t>
      </w:r>
      <w:r w:rsidRPr="00E4115B">
        <w:rPr>
          <w:rFonts w:ascii="Times New Roman" w:hAnsi="Times New Roman" w:cs="Times New Roman"/>
          <w:sz w:val="24"/>
          <w:szCs w:val="24"/>
        </w:rPr>
        <w:tab/>
        <w:t>“d” gününde “i” kontratında sahip olunan net uzun pozisyonlara ilişkin eşleşme fiyatlarının ağırlıklı ortalamasını,</w:t>
      </w:r>
    </w:p>
    <w:p w14:paraId="05A1B939"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GGF</w:t>
      </w:r>
      <w:r w:rsidRPr="00E4115B">
        <w:rPr>
          <w:rFonts w:ascii="Times New Roman" w:hAnsi="Times New Roman" w:cs="Times New Roman"/>
          <w:sz w:val="24"/>
          <w:szCs w:val="24"/>
          <w:vertAlign w:val="subscript"/>
        </w:rPr>
        <w:t xml:space="preserve">d,i </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“d” günü sonunda ilan edilen “i” kontratına ilişkin GGF’yi, </w:t>
      </w:r>
    </w:p>
    <w:p w14:paraId="284B64E0"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p,i,u</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“p” piyasa katılımcısının “i” kontratında sahip olduğu net uzun pozisyon miktarını, </w:t>
      </w:r>
    </w:p>
    <w:p w14:paraId="6F699C72"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i</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“i” kontratının teslimat dönemini kapsayan gaz günü sayısını, </w:t>
      </w:r>
    </w:p>
    <w:p w14:paraId="41A3AEA9"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n :Teminat hesaplamasının yapıldığı kontrat sayısını</w:t>
      </w:r>
    </w:p>
    <w:p w14:paraId="3F705CF1"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54AA5155" w14:textId="77777777" w:rsidR="000F6B17" w:rsidRPr="00E4115B" w:rsidRDefault="000F6B17" w:rsidP="00C63473">
      <w:pPr>
        <w:jc w:val="both"/>
        <w:rPr>
          <w:rFonts w:ascii="Times New Roman" w:hAnsi="Times New Roman" w:cs="Times New Roman"/>
          <w:sz w:val="24"/>
          <w:szCs w:val="24"/>
        </w:rPr>
      </w:pPr>
    </w:p>
    <w:p w14:paraId="24FF042B" w14:textId="77777777" w:rsidR="000F6B17" w:rsidRPr="00E4115B" w:rsidRDefault="000F6B17" w:rsidP="00AB07A1">
      <w:pPr>
        <w:pStyle w:val="Balk3"/>
        <w:ind w:left="0" w:hanging="11"/>
        <w:rPr>
          <w:b w:val="0"/>
        </w:rPr>
      </w:pPr>
      <w:r w:rsidRPr="00E4115B">
        <w:rPr>
          <w:b w:val="0"/>
        </w:rPr>
        <w:t>Piyasa katılımcısının sahip olduğu bütün uzun ve kısa pozisyonların piyasa işletmecisi tarafından gün sonunda piyasaya göre güncelleme teminatı tutarları toplanarak toplam piyasaya göre güncelleme teminatı tutarı aşağıdaki formüle göre hesaplanır;</w:t>
      </w:r>
    </w:p>
    <w:p w14:paraId="664FBABD" w14:textId="77777777" w:rsidR="000F6B17" w:rsidRPr="00E4115B" w:rsidRDefault="00F92C1E"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TPgGT</m:t>
              </m:r>
            </m:e>
            <m:sub>
              <m:r>
                <m:rPr>
                  <m:sty m:val="p"/>
                </m:rPr>
                <w:rPr>
                  <w:rFonts w:ascii="Cambria Math" w:hAnsi="Cambria Math" w:cs="Times New Roman"/>
                  <w:sz w:val="24"/>
                  <w:szCs w:val="24"/>
                </w:rPr>
                <m:t>p,d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PgGT</m:t>
              </m:r>
            </m:e>
            <m:sub>
              <m:r>
                <m:rPr>
                  <m:sty m:val="p"/>
                </m:rPr>
                <w:rPr>
                  <w:rFonts w:ascii="Cambria Math" w:hAnsi="Cambria Math" w:cs="Times New Roman"/>
                  <w:sz w:val="24"/>
                  <w:szCs w:val="24"/>
                </w:rPr>
                <m:t>p,d,k</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PgGT</m:t>
              </m:r>
            </m:e>
            <m:sub>
              <m:r>
                <m:rPr>
                  <m:sty m:val="p"/>
                </m:rPr>
                <w:rPr>
                  <w:rFonts w:ascii="Cambria Math" w:hAnsi="Cambria Math" w:cs="Times New Roman"/>
                  <w:sz w:val="24"/>
                  <w:szCs w:val="24"/>
                </w:rPr>
                <m:t>p,d,u</m:t>
              </m:r>
            </m:sub>
          </m:sSub>
          <m:r>
            <m:rPr>
              <m:sty m:val="p"/>
            </m:rPr>
            <w:rPr>
              <w:rFonts w:ascii="Cambria Math" w:hAnsi="Cambria Math" w:cs="Times New Roman"/>
              <w:sz w:val="24"/>
              <w:szCs w:val="24"/>
            </w:rPr>
            <m:t xml:space="preserve"> (4c)</m:t>
          </m:r>
        </m:oMath>
      </m:oMathPara>
    </w:p>
    <w:p w14:paraId="1BBBCBB0" w14:textId="77777777" w:rsidR="000F6B17" w:rsidRPr="00E4115B" w:rsidRDefault="000F6B17" w:rsidP="00C63473">
      <w:pPr>
        <w:jc w:val="both"/>
        <w:rPr>
          <w:rFonts w:ascii="Times New Roman" w:hAnsi="Times New Roman" w:cs="Times New Roman"/>
          <w:sz w:val="24"/>
          <w:szCs w:val="24"/>
        </w:rPr>
      </w:pPr>
    </w:p>
    <w:p w14:paraId="0E81EF6A"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 yer alan formüllerde geçen;</w:t>
      </w:r>
    </w:p>
    <w:p w14:paraId="29CA6C22"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TPgGT</w:t>
      </w:r>
      <w:r w:rsidRPr="00E4115B">
        <w:rPr>
          <w:rFonts w:ascii="Times New Roman" w:hAnsi="Times New Roman" w:cs="Times New Roman"/>
          <w:sz w:val="24"/>
          <w:szCs w:val="24"/>
          <w:vertAlign w:val="subscript"/>
        </w:rPr>
        <w:t>p,d</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sahip olduğu kısa ve uzun pozisyonları için “d” gününde hesaplanan toplam piyasaya göre güncelleme teminatı tutarını, </w:t>
      </w:r>
    </w:p>
    <w:p w14:paraId="55A317C9"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PgGT</w:t>
      </w:r>
      <w:r w:rsidRPr="00E4115B">
        <w:rPr>
          <w:rFonts w:ascii="Times New Roman" w:hAnsi="Times New Roman" w:cs="Times New Roman"/>
          <w:sz w:val="24"/>
          <w:szCs w:val="24"/>
          <w:vertAlign w:val="subscript"/>
        </w:rPr>
        <w:t>p,d,u</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sahip olduğu uzun pozisyonları için “d” gününde hesaplanan piyasaya göre güncelleme teminatı tutarını, </w:t>
      </w:r>
    </w:p>
    <w:p w14:paraId="6CD46623"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PgGT</w:t>
      </w:r>
      <w:r w:rsidRPr="00E4115B">
        <w:rPr>
          <w:rFonts w:ascii="Times New Roman" w:hAnsi="Times New Roman" w:cs="Times New Roman"/>
          <w:sz w:val="24"/>
          <w:szCs w:val="24"/>
          <w:vertAlign w:val="subscript"/>
        </w:rPr>
        <w:t>p,d,k</w:t>
      </w:r>
      <w:r w:rsidRPr="00E4115B">
        <w:rPr>
          <w:rFonts w:ascii="Times New Roman" w:hAnsi="Times New Roman" w:cs="Times New Roman"/>
          <w:sz w:val="24"/>
          <w:szCs w:val="24"/>
        </w:rPr>
        <w:tab/>
        <w:t>:</w:t>
      </w:r>
      <w:r w:rsidRPr="00E4115B">
        <w:rPr>
          <w:rFonts w:ascii="Times New Roman" w:hAnsi="Times New Roman" w:cs="Times New Roman"/>
          <w:sz w:val="24"/>
          <w:szCs w:val="24"/>
        </w:rPr>
        <w:tab/>
        <w:t>“p” piyasa katılımcısının sahip olduğu kısa pozisyonları için “d” gününde hesaplanan piyasaya göre güncelleme teminatı tutarını</w:t>
      </w:r>
    </w:p>
    <w:p w14:paraId="2B5F510A"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02B4BE15" w14:textId="77777777" w:rsidR="000F6B17" w:rsidRPr="00E4115B" w:rsidRDefault="000F6B17" w:rsidP="00AB07A1">
      <w:pPr>
        <w:pStyle w:val="Balk2"/>
      </w:pPr>
      <w:bookmarkStart w:id="74" w:name="_Toc64755966"/>
      <w:r w:rsidRPr="00E4115B">
        <w:t>Tam Yayılma Pozisyonu Teminat İndirimi</w:t>
      </w:r>
      <w:bookmarkEnd w:id="74"/>
    </w:p>
    <w:p w14:paraId="6AECF01C" w14:textId="77777777" w:rsidR="000F6B17" w:rsidRPr="00E4115B" w:rsidRDefault="000F6B17" w:rsidP="00AB07A1">
      <w:pPr>
        <w:pStyle w:val="Balk3"/>
        <w:ind w:left="0" w:hanging="11"/>
        <w:rPr>
          <w:b w:val="0"/>
        </w:rPr>
      </w:pPr>
      <w:r w:rsidRPr="00E4115B">
        <w:rPr>
          <w:b w:val="0"/>
        </w:rPr>
        <w:t>Piyasa katılımcılarına ait uzun pozisyonların kapsadığı teslimat dönemine dair belirlenen gaz günleri ile kısa pozisyonların kapsadığı teslimat dönemine dair belirlenen gaz günlerinin birebir örtüşmesi durumunda tam yayılma pozisyonu oluşur.</w:t>
      </w:r>
    </w:p>
    <w:p w14:paraId="1EC46321" w14:textId="77777777" w:rsidR="000F6B17" w:rsidRPr="00E4115B" w:rsidRDefault="000F6B17" w:rsidP="00AB07A1">
      <w:pPr>
        <w:pStyle w:val="Balk3"/>
        <w:ind w:left="0" w:hanging="11"/>
        <w:rPr>
          <w:b w:val="0"/>
        </w:rPr>
      </w:pPr>
      <w:r w:rsidRPr="00E4115B">
        <w:rPr>
          <w:b w:val="0"/>
        </w:rPr>
        <w:t xml:space="preserve">Tam yayılma pozisyonu oluşturacak olan ters yönlü pozisyonların miktarları karşılaştırılır ve ilgili pozisyon miktarlarından minimum olanı kadar tam yayılma pozisyonu oluşturulur. </w:t>
      </w:r>
    </w:p>
    <w:p w14:paraId="6F1BA441" w14:textId="77777777" w:rsidR="000F6B17" w:rsidRPr="00E4115B" w:rsidRDefault="000F6B17" w:rsidP="00AB07A1">
      <w:pPr>
        <w:pStyle w:val="Balk3"/>
        <w:ind w:left="0" w:hanging="11"/>
        <w:rPr>
          <w:b w:val="0"/>
        </w:rPr>
      </w:pPr>
      <w:r w:rsidRPr="00E4115B">
        <w:rPr>
          <w:b w:val="0"/>
        </w:rPr>
        <w:t>Tam yayılma pozisyonu oluşturan ters yönlü pozisyonlar için, eğer varsa basamaklandırma işlemi yapılana kadar netleştirme işlemi yapılmaz ve bu pozisyonlar kapatılmamaları halinde, VGP’de piyasa katılımcısının sahip olduğu açık pozisyon olarak kalmaya devam eder.</w:t>
      </w:r>
    </w:p>
    <w:p w14:paraId="12794575" w14:textId="77777777" w:rsidR="000F6B17" w:rsidRPr="00E4115B" w:rsidRDefault="000F6B17" w:rsidP="00AB07A1">
      <w:pPr>
        <w:pStyle w:val="Balk3"/>
        <w:ind w:left="0" w:hanging="11"/>
        <w:rPr>
          <w:b w:val="0"/>
        </w:rPr>
      </w:pPr>
      <w:r w:rsidRPr="00E4115B">
        <w:rPr>
          <w:b w:val="0"/>
        </w:rPr>
        <w:t xml:space="preserve">Tam yayılma pozisyonu oluşturan pozisyonlar için ilgili kontratların GGF’leri kullanılarak piyasaya göre güncelleme yapılır ve hesaplanan değer piyasa katılımcısının toplam VGP teminatı hesabında dikkate alınır. </w:t>
      </w:r>
    </w:p>
    <w:p w14:paraId="516A4616" w14:textId="77777777" w:rsidR="000F6B17" w:rsidRPr="00E4115B" w:rsidRDefault="000F6B17" w:rsidP="00AB07A1">
      <w:pPr>
        <w:pStyle w:val="Balk3"/>
        <w:ind w:left="0" w:hanging="11"/>
        <w:rPr>
          <w:b w:val="0"/>
        </w:rPr>
      </w:pPr>
      <w:r w:rsidRPr="00E4115B">
        <w:rPr>
          <w:b w:val="0"/>
        </w:rPr>
        <w:t>Tam yayılma pozisyonu oluşturan pozisyonlar için teminat indirim tutarı aşağıdaki formüle göre hesaplanır;</w:t>
      </w:r>
    </w:p>
    <w:p w14:paraId="750F96C0" w14:textId="77777777" w:rsidR="000F6B17" w:rsidRPr="00E4115B" w:rsidRDefault="00F92C1E" w:rsidP="00C63473">
      <w:pPr>
        <w:jc w:val="both"/>
        <w:rPr>
          <w:rFonts w:ascii="Times New Roman" w:hAnsi="Times New Roman" w:cs="Times New Roman"/>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TYPTİ</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=min</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i, u</m:t>
                  </m:r>
                </m:sub>
              </m:sSub>
              <m:r>
                <m:rPr>
                  <m:sty m:val="p"/>
                </m:rP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p,l, k</m:t>
                  </m:r>
                </m:sub>
              </m:sSub>
            </m:e>
          </m:d>
          <m:r>
            <m:rPr>
              <m:sty m:val="p"/>
            </m:rPr>
            <w:rPr>
              <w:rFonts w:ascii="Cambria Math" w:hAnsi="Cambria Math" w:cs="Times New Roman"/>
              <w:sz w:val="24"/>
              <w:szCs w:val="24"/>
            </w:rPr>
            <m:t xml:space="preserve">  x </m:t>
          </m:r>
          <m:d>
            <m:dPr>
              <m:begChr m:val="⌊"/>
              <m:endChr m:val="⌋"/>
              <m:ctrlPr>
                <w:rPr>
                  <w:rFonts w:ascii="Cambria Math" w:hAnsi="Cambria Math" w:cs="Times New Roman"/>
                  <w:iCs/>
                  <w:sz w:val="24"/>
                  <w:szCs w:val="24"/>
                </w:rPr>
              </m:ctrlPr>
            </m:dPr>
            <m:e>
              <m:d>
                <m:dPr>
                  <m:ctrlPr>
                    <w:rPr>
                      <w:rFonts w:ascii="Cambria Math" w:hAnsi="Cambria Math" w:cs="Times New Roman"/>
                      <w:iCs/>
                      <w:sz w:val="24"/>
                      <w:szCs w:val="24"/>
                    </w:rPr>
                  </m:ctrlPr>
                </m:dPr>
                <m:e>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AF</m:t>
                          </m:r>
                        </m:e>
                        <m:sub>
                          <m:r>
                            <m:rPr>
                              <m:sty m:val="p"/>
                            </m:rPr>
                            <w:rPr>
                              <w:rFonts w:ascii="Cambria Math" w:hAnsi="Cambria Math" w:cs="Times New Roman"/>
                              <w:sz w:val="24"/>
                              <w:szCs w:val="24"/>
                            </w:rPr>
                            <m:t>d, i, k</m:t>
                          </m:r>
                        </m:sub>
                      </m:sSub>
                    </m:e>
                  </m:nary>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d>
                    <m:dPr>
                      <m:begChr m:val="["/>
                      <m:endChr m:val="]"/>
                      <m:ctrlPr>
                        <w:rPr>
                          <w:rFonts w:ascii="Cambria Math" w:hAnsi="Cambria Math" w:cs="Times New Roman"/>
                          <w:iCs/>
                          <w:sz w:val="24"/>
                          <w:szCs w:val="24"/>
                        </w:rPr>
                      </m:ctrlPr>
                    </m:dPr>
                    <m:e>
                      <m:sSup>
                        <m:sSupPr>
                          <m:ctrlPr>
                            <w:rPr>
                              <w:rFonts w:ascii="Cambria Math" w:hAnsi="Cambria Math" w:cs="Times New Roman"/>
                              <w:iCs/>
                              <w:sz w:val="24"/>
                              <w:szCs w:val="24"/>
                            </w:rPr>
                          </m:ctrlPr>
                        </m:sSupPr>
                        <m:e>
                          <m:d>
                            <m:dPr>
                              <m:ctrlPr>
                                <w:rPr>
                                  <w:rFonts w:ascii="Cambria Math" w:hAnsi="Cambria Math" w:cs="Times New Roman"/>
                                  <w:iCs/>
                                  <w:sz w:val="24"/>
                                  <w:szCs w:val="24"/>
                                </w:rPr>
                              </m:ctrlPr>
                            </m:dPr>
                            <m:e>
                              <m:r>
                                <m:rPr>
                                  <m:sty m:val="p"/>
                                </m:rPr>
                                <w:rPr>
                                  <w:rFonts w:ascii="Cambria Math" w:hAnsi="Cambria Math" w:cs="Times New Roman"/>
                                  <w:sz w:val="24"/>
                                  <w:szCs w:val="24"/>
                                </w:rPr>
                                <m:t>1+</m:t>
                              </m:r>
                              <m:sSub>
                                <m:sSubPr>
                                  <m:ctrlPr>
                                    <w:rPr>
                                      <w:rFonts w:ascii="Cambria Math" w:hAnsi="Cambria Math" w:cs="Times New Roman"/>
                                      <w:iCs/>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i</m:t>
                                  </m:r>
                                </m:sub>
                              </m:sSub>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-1</m:t>
                      </m:r>
                    </m:e>
                  </m:d>
                </m:e>
              </m:d>
              <m:r>
                <m:rPr>
                  <m:sty m:val="p"/>
                </m:rPr>
                <w:rPr>
                  <w:rFonts w:ascii="Cambria Math" w:hAnsi="Cambria Math" w:cs="Times New Roman"/>
                  <w:sz w:val="24"/>
                  <w:szCs w:val="24"/>
                </w:rPr>
                <m:t>+</m:t>
              </m:r>
              <m:d>
                <m:dPr>
                  <m:ctrlPr>
                    <w:rPr>
                      <w:rFonts w:ascii="Cambria Math" w:hAnsi="Cambria Math" w:cs="Times New Roman"/>
                      <w:iCs/>
                      <w:sz w:val="24"/>
                      <w:szCs w:val="24"/>
                    </w:rPr>
                  </m:ctrlPr>
                </m:dPr>
                <m:e>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l=1</m:t>
                      </m:r>
                    </m:sub>
                    <m:sup>
                      <m:r>
                        <m:rPr>
                          <m:sty m:val="p"/>
                        </m:rPr>
                        <w:rPr>
                          <w:rFonts w:ascii="Cambria Math" w:hAnsi="Cambria Math" w:cs="Times New Roman"/>
                          <w:sz w:val="24"/>
                          <w:szCs w:val="24"/>
                        </w:rPr>
                        <m:t>m</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AF</m:t>
                          </m:r>
                        </m:e>
                        <m:sub>
                          <m:r>
                            <m:rPr>
                              <m:sty m:val="p"/>
                            </m:rPr>
                            <w:rPr>
                              <w:rFonts w:ascii="Cambria Math" w:hAnsi="Cambria Math" w:cs="Times New Roman"/>
                              <w:sz w:val="24"/>
                              <w:szCs w:val="24"/>
                            </w:rPr>
                            <m:t>d,l, u</m:t>
                          </m:r>
                        </m:sub>
                      </m:sSub>
                    </m:e>
                  </m:nary>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l</m:t>
                      </m:r>
                    </m:sub>
                  </m:sSub>
                  <m:r>
                    <m:rPr>
                      <m:sty m:val="p"/>
                    </m:rPr>
                    <w:rPr>
                      <w:rFonts w:ascii="Cambria Math" w:hAnsi="Cambria Math" w:cs="Times New Roman"/>
                      <w:sz w:val="24"/>
                      <w:szCs w:val="24"/>
                    </w:rPr>
                    <m:t>×</m:t>
                  </m:r>
                  <m:d>
                    <m:dPr>
                      <m:begChr m:val="["/>
                      <m:endChr m:val="]"/>
                      <m:ctrlPr>
                        <w:rPr>
                          <w:rFonts w:ascii="Cambria Math" w:hAnsi="Cambria Math" w:cs="Times New Roman"/>
                          <w:iCs/>
                          <w:sz w:val="24"/>
                          <w:szCs w:val="24"/>
                        </w:rPr>
                      </m:ctrlPr>
                    </m:dPr>
                    <m:e>
                      <m:sSup>
                        <m:sSupPr>
                          <m:ctrlPr>
                            <w:rPr>
                              <w:rFonts w:ascii="Cambria Math" w:hAnsi="Cambria Math" w:cs="Times New Roman"/>
                              <w:iCs/>
                              <w:sz w:val="24"/>
                              <w:szCs w:val="24"/>
                            </w:rPr>
                          </m:ctrlPr>
                        </m:sSupPr>
                        <m:e>
                          <m:d>
                            <m:dPr>
                              <m:ctrlPr>
                                <w:rPr>
                                  <w:rFonts w:ascii="Cambria Math" w:hAnsi="Cambria Math" w:cs="Times New Roman"/>
                                  <w:iCs/>
                                  <w:sz w:val="24"/>
                                  <w:szCs w:val="24"/>
                                </w:rPr>
                              </m:ctrlPr>
                            </m:dPr>
                            <m:e>
                              <m:r>
                                <m:rPr>
                                  <m:sty m:val="p"/>
                                </m:rPr>
                                <w:rPr>
                                  <w:rFonts w:ascii="Cambria Math" w:hAnsi="Cambria Math" w:cs="Times New Roman"/>
                                  <w:sz w:val="24"/>
                                  <w:szCs w:val="24"/>
                                </w:rPr>
                                <m:t>1+</m:t>
                              </m:r>
                              <m:sSub>
                                <m:sSubPr>
                                  <m:ctrlPr>
                                    <w:rPr>
                                      <w:rFonts w:ascii="Cambria Math" w:hAnsi="Cambria Math" w:cs="Times New Roman"/>
                                      <w:iCs/>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l</m:t>
                                  </m:r>
                                </m:sub>
                              </m:sSub>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-1</m:t>
                      </m:r>
                    </m:e>
                  </m:d>
                </m:e>
              </m:d>
            </m:e>
          </m:d>
          <m:r>
            <m:rPr>
              <m:sty m:val="p"/>
            </m:rPr>
            <w:rPr>
              <w:rFonts w:ascii="Cambria Math" w:hAnsi="Cambria Math" w:cs="Times New Roman"/>
              <w:sz w:val="24"/>
              <w:szCs w:val="24"/>
            </w:rPr>
            <m:t xml:space="preserve"> ×r   (5)</m:t>
          </m:r>
        </m:oMath>
      </m:oMathPara>
    </w:p>
    <w:p w14:paraId="72173F01" w14:textId="77777777" w:rsidR="000F6B17" w:rsidRPr="00E4115B" w:rsidRDefault="000F6B17" w:rsidP="00C63473">
      <w:pPr>
        <w:jc w:val="both"/>
        <w:rPr>
          <w:rFonts w:ascii="Times New Roman" w:hAnsi="Times New Roman" w:cs="Times New Roman"/>
          <w:sz w:val="24"/>
          <w:szCs w:val="24"/>
        </w:rPr>
      </w:pPr>
    </w:p>
    <w:p w14:paraId="00D901ED"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 yer alan formüllerde geçen;</w:t>
      </w:r>
    </w:p>
    <w:p w14:paraId="202B9E9E"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TYPTİ</w:t>
      </w:r>
      <w:r w:rsidRPr="00E4115B">
        <w:rPr>
          <w:rFonts w:ascii="Times New Roman" w:hAnsi="Times New Roman" w:cs="Times New Roman"/>
          <w:sz w:val="24"/>
          <w:szCs w:val="24"/>
          <w:vertAlign w:val="subscript"/>
        </w:rPr>
        <w:t>p,d</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“p” piyasa katılımcısının “d” gününde tam yayılma pozisyonu için hesaplanan teminat indirimi tutarını, </w:t>
      </w:r>
    </w:p>
    <w:p w14:paraId="4470CBBF"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p,i,u</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“p” piyasa katılımcısının “i” kontratında sahip olduğu uzun pozisyonun miktarını, </w:t>
      </w:r>
    </w:p>
    <w:p w14:paraId="36453425"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p,l,k</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“p” piyasa katılımcısının “l” kontratında sahip olduğu kısa pozisyonun miktarını, </w:t>
      </w:r>
    </w:p>
    <w:p w14:paraId="17EE31D5"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AF</w:t>
      </w:r>
      <w:r w:rsidRPr="00E4115B">
        <w:rPr>
          <w:rFonts w:ascii="Times New Roman" w:hAnsi="Times New Roman" w:cs="Times New Roman"/>
          <w:sz w:val="24"/>
          <w:szCs w:val="24"/>
          <w:vertAlign w:val="subscript"/>
        </w:rPr>
        <w:t xml:space="preserve">d,i,k   </w:t>
      </w:r>
      <w:r w:rsidRPr="00E4115B">
        <w:rPr>
          <w:rFonts w:ascii="Times New Roman" w:hAnsi="Times New Roman" w:cs="Times New Roman"/>
          <w:sz w:val="24"/>
          <w:szCs w:val="24"/>
        </w:rPr>
        <w:t>:</w:t>
      </w:r>
      <w:r w:rsidRPr="00E4115B">
        <w:rPr>
          <w:rFonts w:ascii="Times New Roman" w:hAnsi="Times New Roman" w:cs="Times New Roman"/>
          <w:sz w:val="24"/>
          <w:szCs w:val="24"/>
        </w:rPr>
        <w:tab/>
        <w:t>“i” kontratının “d” günündeki açılış fiyatını (TL/1000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w:t>
      </w:r>
    </w:p>
    <w:p w14:paraId="27FA694F"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AF</w:t>
      </w:r>
      <w:r w:rsidRPr="00E4115B">
        <w:rPr>
          <w:rFonts w:ascii="Times New Roman" w:hAnsi="Times New Roman" w:cs="Times New Roman"/>
          <w:sz w:val="24"/>
          <w:szCs w:val="24"/>
          <w:vertAlign w:val="subscript"/>
        </w:rPr>
        <w:t>d,l,u</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“l” kontratının “d” günündeki açılış fiyatını (TL/1000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w:t>
      </w:r>
    </w:p>
    <w:p w14:paraId="4CA6C6A1" w14:textId="5B1C0409"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A</w:t>
      </w:r>
      <w:r w:rsidRPr="00E4115B">
        <w:rPr>
          <w:rFonts w:ascii="Times New Roman" w:hAnsi="Times New Roman" w:cs="Times New Roman"/>
          <w:sz w:val="24"/>
          <w:szCs w:val="24"/>
          <w:vertAlign w:val="subscript"/>
        </w:rPr>
        <w:t xml:space="preserve">i </w:t>
      </w:r>
      <w:r w:rsidRPr="00E4115B">
        <w:rPr>
          <w:rFonts w:ascii="Times New Roman" w:hAnsi="Times New Roman" w:cs="Times New Roman"/>
          <w:sz w:val="24"/>
          <w:szCs w:val="24"/>
        </w:rPr>
        <w:t xml:space="preserve"> </w:t>
      </w:r>
      <w:r w:rsidR="00044390">
        <w:rPr>
          <w:rFonts w:ascii="Times New Roman" w:hAnsi="Times New Roman" w:cs="Times New Roman"/>
          <w:sz w:val="24"/>
          <w:szCs w:val="24"/>
        </w:rPr>
        <w:tab/>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“i” kontratının madde 10.5.3 uyarınca belirlenen günlük fiyat değişim oranını, </w:t>
      </w:r>
    </w:p>
    <w:p w14:paraId="351EDA8B" w14:textId="418F3213"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A</w:t>
      </w:r>
      <w:r w:rsidRPr="00E4115B">
        <w:rPr>
          <w:rFonts w:ascii="Times New Roman" w:hAnsi="Times New Roman" w:cs="Times New Roman"/>
          <w:sz w:val="24"/>
          <w:szCs w:val="24"/>
          <w:vertAlign w:val="subscript"/>
        </w:rPr>
        <w:t>l</w:t>
      </w:r>
      <w:r w:rsidRPr="00E4115B">
        <w:rPr>
          <w:rFonts w:ascii="Times New Roman" w:hAnsi="Times New Roman" w:cs="Times New Roman"/>
          <w:sz w:val="24"/>
          <w:szCs w:val="24"/>
        </w:rPr>
        <w:t xml:space="preserve"> </w:t>
      </w:r>
      <w:r w:rsidR="00044390">
        <w:rPr>
          <w:rFonts w:ascii="Times New Roman" w:hAnsi="Times New Roman" w:cs="Times New Roman"/>
          <w:sz w:val="24"/>
          <w:szCs w:val="24"/>
        </w:rPr>
        <w:tab/>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“l” kontratının madde 10.5.3 uyarınca belirlenen günlük fiyat değişim oranını, </w:t>
      </w:r>
    </w:p>
    <w:p w14:paraId="7BB2C7FB"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i</w:t>
      </w:r>
      <w:r w:rsidRPr="00E4115B">
        <w:rPr>
          <w:rFonts w:ascii="Times New Roman" w:hAnsi="Times New Roman" w:cs="Times New Roman"/>
          <w:sz w:val="24"/>
          <w:szCs w:val="24"/>
        </w:rPr>
        <w:tab/>
        <w:t>:</w:t>
      </w:r>
      <w:r w:rsidRPr="00E4115B">
        <w:rPr>
          <w:rFonts w:ascii="Times New Roman" w:hAnsi="Times New Roman" w:cs="Times New Roman"/>
          <w:sz w:val="24"/>
          <w:szCs w:val="24"/>
        </w:rPr>
        <w:tab/>
        <w:t>“i” kontratının teslimat dönemi kapsayan gaz günü sayısını,</w:t>
      </w:r>
    </w:p>
    <w:p w14:paraId="14AEDEF3"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KGS</w:t>
      </w:r>
      <w:r w:rsidRPr="00E4115B">
        <w:rPr>
          <w:rFonts w:ascii="Times New Roman" w:hAnsi="Times New Roman" w:cs="Times New Roman"/>
          <w:sz w:val="24"/>
          <w:szCs w:val="24"/>
          <w:vertAlign w:val="subscript"/>
        </w:rPr>
        <w:t>l</w:t>
      </w:r>
      <w:r w:rsidRPr="00E4115B">
        <w:rPr>
          <w:rFonts w:ascii="Times New Roman" w:hAnsi="Times New Roman" w:cs="Times New Roman"/>
          <w:sz w:val="24"/>
          <w:szCs w:val="24"/>
        </w:rPr>
        <w:tab/>
        <w:t>:</w:t>
      </w:r>
      <w:r w:rsidRPr="00E4115B">
        <w:rPr>
          <w:rFonts w:ascii="Times New Roman" w:hAnsi="Times New Roman" w:cs="Times New Roman"/>
          <w:sz w:val="24"/>
          <w:szCs w:val="24"/>
        </w:rPr>
        <w:tab/>
        <w:t>“l” kontratının teslimat dönemi kapsayan gaz günü sayısını,</w:t>
      </w:r>
    </w:p>
    <w:p w14:paraId="13ABC002" w14:textId="323F277B"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r  </w:t>
      </w:r>
      <w:r w:rsidR="00044390">
        <w:rPr>
          <w:rFonts w:ascii="Times New Roman" w:hAnsi="Times New Roman" w:cs="Times New Roman"/>
          <w:sz w:val="24"/>
          <w:szCs w:val="24"/>
        </w:rPr>
        <w:tab/>
      </w:r>
      <w:r w:rsidRPr="00E4115B">
        <w:rPr>
          <w:rFonts w:ascii="Times New Roman" w:hAnsi="Times New Roman" w:cs="Times New Roman"/>
          <w:sz w:val="24"/>
          <w:szCs w:val="24"/>
        </w:rPr>
        <w:t>:</w:t>
      </w:r>
      <w:r w:rsidRPr="00E4115B">
        <w:rPr>
          <w:rFonts w:ascii="Times New Roman" w:hAnsi="Times New Roman" w:cs="Times New Roman"/>
          <w:sz w:val="24"/>
          <w:szCs w:val="24"/>
        </w:rPr>
        <w:tab/>
        <w:t>0,99 olarak belirlenen tam yayılma pozisyonu teminat indirimi katsayısını,</w:t>
      </w:r>
    </w:p>
    <w:p w14:paraId="3EF1DB40" w14:textId="0B373256"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n  </w:t>
      </w:r>
      <w:r w:rsidR="00044390">
        <w:rPr>
          <w:rFonts w:ascii="Times New Roman" w:hAnsi="Times New Roman" w:cs="Times New Roman"/>
          <w:sz w:val="24"/>
          <w:szCs w:val="24"/>
        </w:rPr>
        <w:tab/>
      </w:r>
      <w:r w:rsidRPr="00E4115B">
        <w:rPr>
          <w:rFonts w:ascii="Times New Roman" w:hAnsi="Times New Roman" w:cs="Times New Roman"/>
          <w:sz w:val="24"/>
          <w:szCs w:val="24"/>
        </w:rPr>
        <w:t>:</w:t>
      </w:r>
      <w:r w:rsidRPr="00E4115B">
        <w:rPr>
          <w:rFonts w:ascii="Times New Roman" w:hAnsi="Times New Roman" w:cs="Times New Roman"/>
          <w:sz w:val="24"/>
          <w:szCs w:val="24"/>
        </w:rPr>
        <w:tab/>
        <w:t>“p” piyasa katılımcısının kısa pozisyon sahibi olduğu kontrat sayısını,</w:t>
      </w:r>
    </w:p>
    <w:p w14:paraId="5F750DE0" w14:textId="002B19C5"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m  </w:t>
      </w:r>
      <w:r w:rsidR="00044390">
        <w:rPr>
          <w:rFonts w:ascii="Times New Roman" w:hAnsi="Times New Roman" w:cs="Times New Roman"/>
          <w:sz w:val="24"/>
          <w:szCs w:val="24"/>
        </w:rPr>
        <w:tab/>
      </w:r>
      <w:r w:rsidRPr="00E4115B">
        <w:rPr>
          <w:rFonts w:ascii="Times New Roman" w:hAnsi="Times New Roman" w:cs="Times New Roman"/>
          <w:sz w:val="24"/>
          <w:szCs w:val="24"/>
        </w:rPr>
        <w:t>:</w:t>
      </w:r>
      <w:r w:rsidRPr="00E4115B">
        <w:rPr>
          <w:rFonts w:ascii="Times New Roman" w:hAnsi="Times New Roman" w:cs="Times New Roman"/>
          <w:sz w:val="24"/>
          <w:szCs w:val="24"/>
        </w:rPr>
        <w:tab/>
        <w:t>“p” piyasa katılımcısının uzun pozisyon sahibi olduğu kontrat sayısını</w:t>
      </w:r>
    </w:p>
    <w:p w14:paraId="28A22C3C"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7087B5D0" w14:textId="77777777" w:rsidR="000F6B17" w:rsidRPr="00E4115B" w:rsidRDefault="000F6B17" w:rsidP="00C63473">
      <w:pPr>
        <w:jc w:val="both"/>
        <w:rPr>
          <w:rFonts w:ascii="Times New Roman" w:hAnsi="Times New Roman" w:cs="Times New Roman"/>
          <w:sz w:val="24"/>
          <w:szCs w:val="24"/>
        </w:rPr>
      </w:pPr>
    </w:p>
    <w:p w14:paraId="2156D95C" w14:textId="77777777" w:rsidR="000F6B17" w:rsidRPr="00E4115B" w:rsidRDefault="000F6B17" w:rsidP="00AB07A1">
      <w:pPr>
        <w:pStyle w:val="Balk3"/>
        <w:ind w:left="0" w:hanging="11"/>
        <w:rPr>
          <w:b w:val="0"/>
        </w:rPr>
      </w:pPr>
      <w:r w:rsidRPr="00E4115B">
        <w:rPr>
          <w:b w:val="0"/>
        </w:rPr>
        <w:t>Piyasa katılımcısının tam yayılma pozisyonunu oluşturan pozisyonlardan herhangi birini ters işlem ile kapatması halinde, ilgili pozisyonun kapatılan kısmı için tam yayılma pozisyonu teminat indirimi uygulanmaz. Tam yayılma pozisyonu teminat indirimi uygulanmış olan açık pozisyonlar için piyasa katılımcılarının sunmakla yükümlü olduğu teminat tutarı piyasa işletmecisi tarafından yeniden hesaplanır.</w:t>
      </w:r>
    </w:p>
    <w:p w14:paraId="1BDD6E5F" w14:textId="77777777" w:rsidR="004F30D4" w:rsidRPr="00E4115B" w:rsidRDefault="004F30D4" w:rsidP="000647C7">
      <w:pPr>
        <w:pStyle w:val="Balk2"/>
      </w:pPr>
      <w:bookmarkStart w:id="75" w:name="_Toc64755967"/>
      <w:r w:rsidRPr="00E4115B">
        <w:t>Fiziksel Dönem Teminatı</w:t>
      </w:r>
      <w:bookmarkEnd w:id="75"/>
    </w:p>
    <w:p w14:paraId="4D42B20E" w14:textId="77777777" w:rsidR="00877007" w:rsidRDefault="004F30D4" w:rsidP="00877007">
      <w:pPr>
        <w:pStyle w:val="Balk3"/>
        <w:ind w:left="0" w:hanging="11"/>
        <w:rPr>
          <w:b w:val="0"/>
        </w:rPr>
      </w:pPr>
      <w:r w:rsidRPr="00E4115B">
        <w:rPr>
          <w:b w:val="0"/>
        </w:rPr>
        <w:t>Piyasa işletmecisi tarafından VGP’de açık pozisyonu olan piyasa katılımcıları için işlem yaptıkları teslimat döneminde oluşabilecek risklere karşı, ilgili teslimat dönemi başlangıcından önceki üçüncü iş günü seans sonunda fiziksel dönem teminatı hesaplanır. Fiziksel dönem teminatı, teslimat dönemi bittikten sonraki üçüncü günden itibaren hesaplanmaz. Fiziksel dönem teminatı, fatura ödemesi gerçekleşene kadar iade edilmez.</w:t>
      </w:r>
    </w:p>
    <w:p w14:paraId="7A8A0086" w14:textId="45E3BFD2" w:rsidR="00877007" w:rsidRPr="00681BF6" w:rsidRDefault="00877007" w:rsidP="00877007">
      <w:pPr>
        <w:pStyle w:val="Balk3"/>
        <w:ind w:left="0" w:hanging="11"/>
        <w:rPr>
          <w:b w:val="0"/>
        </w:rPr>
      </w:pPr>
      <w:r w:rsidRPr="00681BF6">
        <w:rPr>
          <w:b w:val="0"/>
        </w:rPr>
        <w:t>Fiziksel dönem teminatı, net pozisyon miktarı ve net pozisyonu oluşturan eşleşmelerin ağırlıklı ortalama fiyatı dikkate alınarak belirlenir.</w:t>
      </w:r>
    </w:p>
    <w:p w14:paraId="652FD6E9" w14:textId="77777777" w:rsidR="004F30D4" w:rsidRPr="00E4115B" w:rsidRDefault="004F30D4" w:rsidP="00A019C7">
      <w:pPr>
        <w:pStyle w:val="Balk3"/>
        <w:ind w:left="0" w:hanging="11"/>
        <w:rPr>
          <w:b w:val="0"/>
        </w:rPr>
      </w:pPr>
      <w:r w:rsidRPr="00E4115B">
        <w:rPr>
          <w:b w:val="0"/>
        </w:rPr>
        <w:t>Uzun pozisyon sahibi piyasa katılımcısının fiziksel dönem teminatı aşağıdaki formüle göre hesaplanır:</w:t>
      </w:r>
    </w:p>
    <w:p w14:paraId="77549224" w14:textId="77777777" w:rsidR="004F30D4" w:rsidRPr="00E4115B" w:rsidRDefault="00F92C1E"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FZDTU</m:t>
              </m:r>
            </m:e>
            <m:sub>
              <m:r>
                <m:rPr>
                  <m:sty m:val="p"/>
                </m:rPr>
                <w:rPr>
                  <w:rFonts w:ascii="Cambria Math" w:hAnsi="Cambria Math" w:cs="Times New Roman"/>
                  <w:sz w:val="24"/>
                  <w:szCs w:val="24"/>
                </w:rPr>
                <m:t>p, d, i</m:t>
              </m:r>
            </m:sub>
          </m:sSub>
          <m:r>
            <m:rPr>
              <m:sty m:val="p"/>
            </m:rPr>
            <w:rPr>
              <w:rFonts w:ascii="Cambria Math" w:hAnsi="Cambria Math" w:cs="Times New Roman"/>
              <w:sz w:val="24"/>
              <w:szCs w:val="24"/>
            </w:rPr>
            <m:t>=maks</m:t>
          </m:r>
          <m:d>
            <m:dPr>
              <m:begChr m:val="["/>
              <m:endChr m:val="]"/>
              <m:ctrlPr>
                <w:rPr>
                  <w:rFonts w:ascii="Cambria Math" w:hAnsi="Cambria Math" w:cs="Times New Roman"/>
                  <w:iCs/>
                  <w:sz w:val="24"/>
                  <w:szCs w:val="24"/>
                </w:rPr>
              </m:ctrlPr>
            </m:dPr>
            <m:e>
              <m:d>
                <m:dPr>
                  <m:ctrlPr>
                    <w:rPr>
                      <w:rFonts w:ascii="Cambria Math" w:hAnsi="Cambria Math" w:cs="Times New Roman"/>
                      <w:iCs/>
                      <w:sz w:val="24"/>
                      <w:szCs w:val="24"/>
                    </w:rPr>
                  </m:ctrlPr>
                </m:dPr>
                <m:e>
                  <m:d>
                    <m:dPr>
                      <m:ctrlPr>
                        <w:rPr>
                          <w:rFonts w:ascii="Cambria Math" w:hAnsi="Cambria Math" w:cs="Times New Roman"/>
                          <w:iCs/>
                          <w:sz w:val="24"/>
                          <w:szCs w:val="24"/>
                        </w:rPr>
                      </m:ctrlPr>
                    </m:dPr>
                    <m:e>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EF</m:t>
                              </m:r>
                            </m:e>
                            <m:sub>
                              <m:r>
                                <m:rPr>
                                  <m:sty m:val="p"/>
                                </m:rPr>
                                <w:rPr>
                                  <w:rFonts w:ascii="Cambria Math" w:hAnsi="Cambria Math" w:cs="Times New Roman"/>
                                  <w:sz w:val="24"/>
                                  <w:szCs w:val="24"/>
                                </w:rPr>
                                <m:t>p, i, j, u</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j, u</m:t>
                              </m:r>
                            </m:sub>
                          </m:sSub>
                          <m:r>
                            <m:rPr>
                              <m:sty m:val="p"/>
                            </m:rPr>
                            <w:rPr>
                              <w:rFonts w:ascii="Cambria Math" w:hAnsi="Cambria Math" w:cs="Times New Roman"/>
                              <w:sz w:val="24"/>
                              <w:szCs w:val="24"/>
                            </w:rPr>
                            <m:t xml:space="preserve"> </m:t>
                          </m:r>
                        </m:e>
                      </m:nary>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NK</m:t>
                      </m:r>
                    </m:e>
                    <m:sub>
                      <m:r>
                        <m:rPr>
                          <m:sty m:val="p"/>
                        </m:rPr>
                        <w:rPr>
                          <w:rFonts w:ascii="Cambria Math" w:hAnsi="Cambria Math" w:cs="Times New Roman"/>
                          <w:sz w:val="24"/>
                          <w:szCs w:val="24"/>
                        </w:rPr>
                        <m:t>p, d, i</m:t>
                      </m:r>
                    </m:sub>
                  </m:sSub>
                </m:e>
              </m:d>
              <m:r>
                <m:rPr>
                  <m:sty m:val="p"/>
                </m:rPr>
                <w:rPr>
                  <w:rFonts w:ascii="Cambria Math" w:hAnsi="Cambria Math" w:cs="Times New Roman"/>
                  <w:sz w:val="24"/>
                  <w:szCs w:val="24"/>
                </w:rPr>
                <m:t>;0</m:t>
              </m:r>
            </m:e>
          </m:d>
          <m:r>
            <m:rPr>
              <m:sty m:val="p"/>
            </m:rPr>
            <w:rPr>
              <w:rFonts w:ascii="Cambria Math" w:hAnsi="Cambria Math" w:cs="Times New Roman"/>
              <w:sz w:val="24"/>
              <w:szCs w:val="24"/>
            </w:rPr>
            <m:t xml:space="preserve"> ×1,18    (6a)</m:t>
          </m:r>
        </m:oMath>
      </m:oMathPara>
    </w:p>
    <w:p w14:paraId="027765B2" w14:textId="77777777" w:rsidR="004F30D4" w:rsidRPr="00E4115B" w:rsidRDefault="004F30D4" w:rsidP="00C63473">
      <w:pPr>
        <w:jc w:val="both"/>
        <w:rPr>
          <w:rFonts w:ascii="Times New Roman" w:hAnsi="Times New Roman" w:cs="Times New Roman"/>
          <w:sz w:val="24"/>
          <w:szCs w:val="24"/>
        </w:rPr>
      </w:pPr>
    </w:p>
    <w:p w14:paraId="3984FF75"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 yer alan formüllerde geçen;</w:t>
      </w:r>
    </w:p>
    <w:p w14:paraId="3E490246"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FZDTU</w:t>
      </w:r>
      <w:r w:rsidRPr="00E4115B">
        <w:rPr>
          <w:rFonts w:ascii="Times New Roman" w:hAnsi="Times New Roman" w:cs="Times New Roman"/>
          <w:sz w:val="24"/>
          <w:szCs w:val="24"/>
          <w:vertAlign w:val="subscript"/>
        </w:rPr>
        <w:t>p,d,i</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Uzun pozisyon sahibi “p” piyasa katılımcısının “i” kontratı için “d” gününde hesaplanan fiziksel dönem teminatını, </w:t>
      </w:r>
    </w:p>
    <w:p w14:paraId="11E90EF3"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EF</w:t>
      </w:r>
      <w:r w:rsidRPr="00E4115B">
        <w:rPr>
          <w:rFonts w:ascii="Times New Roman" w:hAnsi="Times New Roman" w:cs="Times New Roman"/>
          <w:sz w:val="24"/>
          <w:szCs w:val="24"/>
          <w:vertAlign w:val="subscript"/>
        </w:rPr>
        <w:t>p,i,j,u</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Uzun pozisyon sahibi “p” piyasa katılımcısının “i” kontratındaki “j” pozisyonu için eşleşme fiyatını,</w:t>
      </w:r>
    </w:p>
    <w:p w14:paraId="34EF39C0"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p,j,u</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Uzun pozisyon sahibi “p” piyasa katılımcısının “i” kontratında sahip olduğu “j” pozisyonunun eşleşme miktarını, </w:t>
      </w:r>
    </w:p>
    <w:p w14:paraId="58873A70"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i</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“i” kontratının teslimat dönemini kapsayan gaz günü sayısını, </w:t>
      </w:r>
    </w:p>
    <w:p w14:paraId="56D9C3A9"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NK</w:t>
      </w:r>
      <w:r w:rsidRPr="00E4115B">
        <w:rPr>
          <w:rFonts w:ascii="Times New Roman" w:hAnsi="Times New Roman" w:cs="Times New Roman"/>
          <w:sz w:val="24"/>
          <w:szCs w:val="24"/>
          <w:vertAlign w:val="subscript"/>
        </w:rPr>
        <w:t>p,d,i</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“p” piyasa katılımcısının “i” kontratına ilişkin “d” gününde netleştirme sonucu hesaplanan net karını,</w:t>
      </w:r>
    </w:p>
    <w:p w14:paraId="7B341696" w14:textId="41210D12"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 xml:space="preserve">n   </w:t>
      </w:r>
      <w:r w:rsidR="00044390">
        <w:rPr>
          <w:rFonts w:ascii="Times New Roman" w:hAnsi="Times New Roman" w:cs="Times New Roman"/>
          <w:sz w:val="24"/>
          <w:szCs w:val="24"/>
        </w:rPr>
        <w:tab/>
      </w:r>
      <w:r w:rsidRPr="00E4115B">
        <w:rPr>
          <w:rFonts w:ascii="Times New Roman" w:hAnsi="Times New Roman" w:cs="Times New Roman"/>
          <w:sz w:val="24"/>
          <w:szCs w:val="24"/>
        </w:rPr>
        <w:t>:</w:t>
      </w:r>
      <w:r w:rsidRPr="00E4115B">
        <w:rPr>
          <w:rFonts w:ascii="Times New Roman" w:hAnsi="Times New Roman" w:cs="Times New Roman"/>
          <w:sz w:val="24"/>
          <w:szCs w:val="24"/>
        </w:rPr>
        <w:tab/>
        <w:t>“p” piyasa katılımcısının uzun pozisyon sahibi olduğu eşleşme sayısını</w:t>
      </w:r>
    </w:p>
    <w:p w14:paraId="185383C9"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56F38345" w14:textId="77777777" w:rsidR="004F30D4" w:rsidRPr="00E4115B" w:rsidRDefault="004F30D4" w:rsidP="00C63473">
      <w:pPr>
        <w:jc w:val="both"/>
        <w:rPr>
          <w:rFonts w:ascii="Times New Roman" w:hAnsi="Times New Roman" w:cs="Times New Roman"/>
          <w:sz w:val="24"/>
          <w:szCs w:val="24"/>
        </w:rPr>
      </w:pPr>
    </w:p>
    <w:p w14:paraId="56FFD252" w14:textId="77777777" w:rsidR="004F30D4" w:rsidRPr="00E4115B" w:rsidRDefault="004F30D4" w:rsidP="00A019C7">
      <w:pPr>
        <w:pStyle w:val="Balk3"/>
        <w:ind w:left="0" w:hanging="11"/>
        <w:rPr>
          <w:b w:val="0"/>
        </w:rPr>
      </w:pPr>
      <w:r w:rsidRPr="00E4115B">
        <w:rPr>
          <w:b w:val="0"/>
        </w:rPr>
        <w:t>Kısa pozisyon sahibi piyasa katılımcısının fiziksel dönem teminatı aşağıdaki formüle göre hesaplanır:</w:t>
      </w:r>
    </w:p>
    <w:p w14:paraId="2F346EFA" w14:textId="77777777" w:rsidR="004F30D4" w:rsidRPr="00E4115B" w:rsidRDefault="00F92C1E" w:rsidP="00C63473">
      <w:pPr>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FZDTK</m:t>
              </m:r>
            </m:e>
            <m:sub>
              <m:r>
                <m:rPr>
                  <m:sty m:val="p"/>
                </m:rPr>
                <w:rPr>
                  <w:rFonts w:ascii="Cambria Math" w:hAnsi="Cambria Math" w:cs="Times New Roman"/>
                  <w:sz w:val="24"/>
                  <w:szCs w:val="24"/>
                </w:rPr>
                <m:t>p,d,i</m:t>
              </m:r>
            </m:sub>
          </m:sSub>
          <m:r>
            <m:rPr>
              <m:sty m:val="p"/>
            </m:rPr>
            <w:rPr>
              <w:rFonts w:ascii="Cambria Math" w:hAnsi="Cambria Math" w:cs="Times New Roman"/>
              <w:sz w:val="24"/>
              <w:szCs w:val="24"/>
            </w:rPr>
            <m:t>=</m:t>
          </m:r>
          <m:d>
            <m:dPr>
              <m:ctrlPr>
                <w:rPr>
                  <w:rFonts w:ascii="Cambria Math" w:hAnsi="Cambria Math" w:cs="Times New Roman"/>
                  <w:iCs/>
                  <w:sz w:val="24"/>
                  <w:szCs w:val="24"/>
                </w:rPr>
              </m:ctrlPr>
            </m:dPr>
            <m:e>
              <m:r>
                <m:rPr>
                  <m:sty m:val="p"/>
                </m:rPr>
                <w:rPr>
                  <w:rFonts w:ascii="Cambria Math" w:hAnsi="Cambria Math" w:cs="Times New Roman"/>
                  <w:sz w:val="24"/>
                  <w:szCs w:val="24"/>
                </w:rPr>
                <m:t>maks</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FBT</m:t>
                      </m:r>
                    </m:e>
                    <m:sub>
                      <m:r>
                        <m:rPr>
                          <m:sty m:val="p"/>
                        </m:rPr>
                        <w:rPr>
                          <w:rFonts w:ascii="Cambria Math" w:hAnsi="Cambria Math" w:cs="Times New Roman"/>
                          <w:sz w:val="24"/>
                          <w:szCs w:val="24"/>
                        </w:rPr>
                        <m:t>p,d,i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FAT</m:t>
                      </m:r>
                    </m:e>
                    <m:sub>
                      <m:r>
                        <m:rPr>
                          <m:sty m:val="p"/>
                        </m:rPr>
                        <w:rPr>
                          <w:rFonts w:ascii="Cambria Math" w:hAnsi="Cambria Math" w:cs="Times New Roman"/>
                          <w:sz w:val="24"/>
                          <w:szCs w:val="24"/>
                        </w:rPr>
                        <m:t>p,d,i</m:t>
                      </m:r>
                    </m:sub>
                  </m:sSub>
                  <m:r>
                    <m:rPr>
                      <m:sty m:val="p"/>
                    </m:rP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sty m:val="p"/>
                        </m:rPr>
                        <w:rPr>
                          <w:rFonts w:ascii="Cambria Math" w:hAnsi="Cambria Math" w:cs="Times New Roman"/>
                          <w:sz w:val="24"/>
                          <w:szCs w:val="24"/>
                        </w:rPr>
                        <m:t>NK</m:t>
                      </m:r>
                    </m:e>
                    <m:sub>
                      <m:r>
                        <m:rPr>
                          <m:sty m:val="p"/>
                        </m:rPr>
                        <w:rPr>
                          <w:rFonts w:ascii="Cambria Math" w:hAnsi="Cambria Math" w:cs="Times New Roman"/>
                          <w:sz w:val="24"/>
                          <w:szCs w:val="24"/>
                        </w:rPr>
                        <m:t>p, d, i</m:t>
                      </m:r>
                    </m:sub>
                  </m:sSub>
                  <m:r>
                    <m:rPr>
                      <m:sty m:val="p"/>
                    </m:rPr>
                    <w:rPr>
                      <w:rFonts w:ascii="Cambria Math" w:hAnsi="Cambria Math" w:cs="Times New Roman"/>
                      <w:sz w:val="24"/>
                      <w:szCs w:val="24"/>
                    </w:rPr>
                    <m:t xml:space="preserve"> </m:t>
                  </m:r>
                </m:e>
              </m:d>
              <m:r>
                <m:rPr>
                  <m:sty m:val="p"/>
                </m:rPr>
                <w:rPr>
                  <w:rFonts w:ascii="Cambria Math" w:hAnsi="Cambria Math" w:cs="Times New Roman"/>
                  <w:sz w:val="24"/>
                  <w:szCs w:val="24"/>
                </w:rPr>
                <m:t>;0</m:t>
              </m:r>
            </m:e>
          </m:d>
          <m:r>
            <m:rPr>
              <m:sty m:val="p"/>
            </m:rPr>
            <w:rPr>
              <w:rFonts w:ascii="Cambria Math" w:hAnsi="Cambria Math" w:cs="Times New Roman"/>
              <w:sz w:val="24"/>
              <w:szCs w:val="24"/>
            </w:rPr>
            <m:t xml:space="preserve">     (6b)</m:t>
          </m:r>
        </m:oMath>
      </m:oMathPara>
    </w:p>
    <w:p w14:paraId="4C00EF51" w14:textId="493F1DF2" w:rsidR="004F30D4" w:rsidRPr="00E4115B" w:rsidRDefault="00F92C1E" w:rsidP="00C63473">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FBT</m:t>
              </m:r>
            </m:e>
            <m:sub>
              <m:r>
                <m:rPr>
                  <m:sty m:val="p"/>
                </m:rPr>
                <w:rPr>
                  <w:rFonts w:ascii="Cambria Math" w:eastAsiaTheme="minorEastAsia" w:hAnsi="Cambria Math" w:cs="Times New Roman"/>
                  <w:sz w:val="24"/>
                  <w:szCs w:val="24"/>
                </w:rPr>
                <m:t>p,d,i</m:t>
              </m:r>
            </m:sub>
          </m:sSub>
          <m:r>
            <m:rPr>
              <m:sty m:val="p"/>
            </m:rP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Cs/>
                  <w:sz w:val="24"/>
                  <w:szCs w:val="24"/>
                </w:rPr>
              </m:ctrlPr>
            </m:naryPr>
            <m:sub>
              <m:r>
                <m:rPr>
                  <m:sty m:val="p"/>
                </m:rPr>
                <w:rPr>
                  <w:rFonts w:ascii="Cambria Math" w:eastAsiaTheme="minorEastAsia" w:hAnsi="Cambria Math" w:cs="Times New Roman"/>
                  <w:sz w:val="24"/>
                  <w:szCs w:val="24"/>
                </w:rPr>
                <m:t>j=1</m:t>
              </m:r>
            </m:sub>
            <m:sup>
              <m:r>
                <m:rPr>
                  <m:sty m:val="p"/>
                </m:rPr>
                <w:rPr>
                  <w:rFonts w:ascii="Cambria Math" w:eastAsiaTheme="minorEastAsia" w:hAnsi="Cambria Math" w:cs="Times New Roman"/>
                  <w:sz w:val="24"/>
                  <w:szCs w:val="24"/>
                </w:rPr>
                <m:t>n</m:t>
              </m:r>
            </m:sup>
            <m:e>
              <m:r>
                <w:rPr>
                  <w:rFonts w:ascii="Cambria Math" w:eastAsiaTheme="minorEastAsia" w:hAnsi="Cambria Math" w:cs="Times New Roman"/>
                  <w:sz w:val="24"/>
                  <w:szCs w:val="24"/>
                </w:rPr>
                <m:t>maks</m:t>
              </m:r>
              <m:d>
                <m:dPr>
                  <m:begChr m:val="["/>
                  <m:endChr m:val="]"/>
                  <m:ctrlPr>
                    <w:rPr>
                      <w:rFonts w:ascii="Cambria Math" w:eastAsiaTheme="minorEastAsia" w:hAnsi="Cambria Math" w:cs="Times New Roman"/>
                      <w:iCs/>
                      <w:sz w:val="24"/>
                      <w:szCs w:val="24"/>
                    </w:rPr>
                  </m:ctrlPr>
                </m:dPr>
                <m:e>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DGAF</m:t>
                      </m:r>
                    </m:e>
                    <m:sub>
                      <m:r>
                        <m:rPr>
                          <m:sty m:val="p"/>
                        </m:rPr>
                        <w:rPr>
                          <w:rFonts w:ascii="Cambria Math" w:eastAsiaTheme="minorEastAsia" w:hAnsi="Cambria Math" w:cs="Times New Roman"/>
                          <w:sz w:val="24"/>
                          <w:szCs w:val="24"/>
                        </w:rPr>
                        <m:t>t</m:t>
                      </m:r>
                    </m:sub>
                  </m:sSub>
                  <m:r>
                    <m:rPr>
                      <m:sty m:val="p"/>
                    </m:rPr>
                    <w:rPr>
                      <w:rFonts w:ascii="Cambria Math" w:eastAsiaTheme="minorEastAsia" w:hAnsi="Cambria Math" w:cs="Times New Roman"/>
                      <w:sz w:val="24"/>
                      <w:szCs w:val="24"/>
                    </w:rPr>
                    <m:t>×1,1 -</m:t>
                  </m:r>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EF</m:t>
                      </m:r>
                    </m:e>
                    <m:sub>
                      <m:r>
                        <m:rPr>
                          <m:sty m:val="p"/>
                        </m:rPr>
                        <w:rPr>
                          <w:rFonts w:ascii="Cambria Math" w:eastAsiaTheme="minorEastAsia" w:hAnsi="Cambria Math" w:cs="Times New Roman"/>
                          <w:sz w:val="24"/>
                          <w:szCs w:val="24"/>
                        </w:rPr>
                        <m:t>p,i,j,k</m:t>
                      </m:r>
                    </m:sub>
                  </m:sSub>
                  <m:r>
                    <w:rPr>
                      <w:rFonts w:ascii="Cambria Math" w:eastAsiaTheme="minorEastAsia" w:hAnsi="Cambria Math" w:cs="Times New Roman"/>
                      <w:sz w:val="24"/>
                      <w:szCs w:val="24"/>
                    </w:rPr>
                    <m:t>;0</m:t>
                  </m:r>
                </m:e>
              </m:d>
              <m:r>
                <m:rPr>
                  <m:sty m:val="p"/>
                </m:rPr>
                <w:rPr>
                  <w:rFonts w:ascii="Cambria Math" w:eastAsiaTheme="minorEastAsia" w:hAnsi="Cambria Math" w:cs="Times New Roman"/>
                  <w:sz w:val="24"/>
                  <w:szCs w:val="24"/>
                </w:rPr>
                <m:t>×min</m:t>
              </m:r>
              <m:d>
                <m:dPr>
                  <m:begChr m:val="["/>
                  <m:endChr m:val="]"/>
                  <m:ctrlPr>
                    <w:rPr>
                      <w:rFonts w:ascii="Cambria Math" w:eastAsiaTheme="minorEastAsia" w:hAnsi="Cambria Math" w:cs="Times New Roman"/>
                      <w:iCs/>
                      <w:sz w:val="24"/>
                      <w:szCs w:val="24"/>
                    </w:rPr>
                  </m:ctrlPr>
                </m:dPr>
                <m:e>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KGS</m:t>
                      </m:r>
                    </m:e>
                    <m:sub>
                      <m:r>
                        <m:rPr>
                          <m:sty m:val="p"/>
                        </m:rPr>
                        <w:rPr>
                          <w:rFonts w:ascii="Cambria Math" w:eastAsiaTheme="minorEastAsia" w:hAnsi="Cambria Math" w:cs="Times New Roman"/>
                          <w:sz w:val="24"/>
                          <w:szCs w:val="24"/>
                        </w:rPr>
                        <m:t>i</m:t>
                      </m:r>
                    </m:sub>
                  </m:sSub>
                  <m:r>
                    <m:rPr>
                      <m:sty m:val="p"/>
                    </m:rPr>
                    <w:rPr>
                      <w:rFonts w:ascii="Cambria Math" w:eastAsiaTheme="minorEastAsia" w:hAnsi="Cambria Math" w:cs="Times New Roman"/>
                      <w:sz w:val="24"/>
                      <w:szCs w:val="24"/>
                    </w:rPr>
                    <m:t>,</m:t>
                  </m:r>
                  <m:d>
                    <m:dPr>
                      <m:ctrlPr>
                        <w:rPr>
                          <w:rFonts w:ascii="Cambria Math" w:eastAsiaTheme="minorEastAsia" w:hAnsi="Cambria Math" w:cs="Times New Roman"/>
                          <w:iCs/>
                          <w:sz w:val="24"/>
                          <w:szCs w:val="24"/>
                        </w:rPr>
                      </m:ctrlPr>
                    </m:dPr>
                    <m:e>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KGS</m:t>
                          </m:r>
                        </m:e>
                        <m:sub>
                          <m:r>
                            <m:rPr>
                              <m:sty m:val="p"/>
                            </m:rPr>
                            <w:rPr>
                              <w:rFonts w:ascii="Cambria Math" w:eastAsiaTheme="minorEastAsia" w:hAnsi="Cambria Math" w:cs="Times New Roman"/>
                              <w:sz w:val="24"/>
                              <w:szCs w:val="24"/>
                            </w:rPr>
                            <m:t>i</m:t>
                          </m:r>
                        </m:sub>
                      </m:sSub>
                      <m:r>
                        <m:rPr>
                          <m:sty m:val="p"/>
                        </m:rPr>
                        <w:rPr>
                          <w:rFonts w:ascii="Cambria Math" w:eastAsiaTheme="minorEastAsia" w:hAnsi="Cambria Math" w:cs="Times New Roman"/>
                          <w:sz w:val="24"/>
                          <w:szCs w:val="24"/>
                        </w:rPr>
                        <m:t>+3-z</m:t>
                      </m:r>
                    </m:e>
                  </m:d>
                </m:e>
              </m:d>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p,i,j,k</m:t>
                  </m:r>
                </m:sub>
              </m:sSub>
            </m:e>
          </m:nary>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iCs/>
                  <w:sz w:val="24"/>
                  <w:szCs w:val="24"/>
                </w:rPr>
              </m:ctrlPr>
            </m:dPr>
            <m:e>
              <m:r>
                <m:rPr>
                  <m:sty m:val="p"/>
                </m:rPr>
                <w:rPr>
                  <w:rFonts w:ascii="Cambria Math" w:eastAsiaTheme="minorEastAsia" w:hAnsi="Cambria Math" w:cs="Times New Roman"/>
                  <w:sz w:val="24"/>
                  <w:szCs w:val="24"/>
                </w:rPr>
                <m:t>6c</m:t>
              </m:r>
            </m:e>
          </m:d>
        </m:oMath>
      </m:oMathPara>
    </w:p>
    <w:p w14:paraId="5AE9CB65" w14:textId="77777777" w:rsidR="004F30D4" w:rsidRPr="00E4115B" w:rsidRDefault="00F92C1E" w:rsidP="00C63473">
      <w:pPr>
        <w:jc w:val="both"/>
        <w:rPr>
          <w:rFonts w:ascii="Times New Roman" w:eastAsiaTheme="minorEastAsia" w:hAnsi="Times New Roman" w:cs="Times New Roman"/>
          <w:iCs/>
          <w:sz w:val="24"/>
          <w:szCs w:val="24"/>
        </w:rPr>
      </w:pPr>
      <m:oMathPara>
        <m:oMathParaPr>
          <m:jc m:val="left"/>
        </m:oMathParaP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FAT</m:t>
              </m:r>
            </m:e>
            <m:sub>
              <m:r>
                <m:rPr>
                  <m:sty m:val="p"/>
                </m:rPr>
                <w:rPr>
                  <w:rFonts w:ascii="Cambria Math" w:eastAsiaTheme="minorEastAsia" w:hAnsi="Cambria Math" w:cs="Times New Roman"/>
                  <w:sz w:val="24"/>
                  <w:szCs w:val="24"/>
                </w:rPr>
                <m:t>p,d,i</m:t>
              </m:r>
            </m:sub>
          </m:sSub>
          <m:r>
            <m:rPr>
              <m:sty m:val="p"/>
            </m:rP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Cs/>
                  <w:sz w:val="24"/>
                  <w:szCs w:val="24"/>
                </w:rPr>
              </m:ctrlPr>
            </m:naryPr>
            <m:sub>
              <m:r>
                <m:rPr>
                  <m:sty m:val="p"/>
                </m:rPr>
                <w:rPr>
                  <w:rFonts w:ascii="Cambria Math" w:eastAsiaTheme="minorEastAsia" w:hAnsi="Cambria Math" w:cs="Times New Roman"/>
                  <w:sz w:val="24"/>
                  <w:szCs w:val="24"/>
                </w:rPr>
                <m:t>j=1</m:t>
              </m:r>
            </m:sub>
            <m:sup>
              <m:r>
                <m:rPr>
                  <m:sty m:val="p"/>
                </m:rPr>
                <w:rPr>
                  <w:rFonts w:ascii="Cambria Math" w:eastAsiaTheme="minorEastAsia" w:hAnsi="Cambria Math" w:cs="Times New Roman"/>
                  <w:sz w:val="24"/>
                  <w:szCs w:val="24"/>
                </w:rPr>
                <m:t>n</m:t>
              </m:r>
            </m:sup>
            <m:e>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EF</m:t>
                  </m:r>
                </m:e>
                <m:sub>
                  <m:r>
                    <m:rPr>
                      <m:sty m:val="p"/>
                    </m:rPr>
                    <w:rPr>
                      <w:rFonts w:ascii="Cambria Math" w:eastAsiaTheme="minorEastAsia" w:hAnsi="Cambria Math" w:cs="Times New Roman"/>
                      <w:sz w:val="24"/>
                      <w:szCs w:val="24"/>
                    </w:rPr>
                    <m:t>p,i,j,k</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p,i,j,k</m:t>
                  </m:r>
                </m:sub>
              </m:sSub>
              <m:r>
                <m:rPr>
                  <m:sty m:val="p"/>
                </m:rPr>
                <w:rPr>
                  <w:rFonts w:ascii="Cambria Math" w:eastAsiaTheme="minorEastAsia" w:hAnsi="Cambria Math" w:cs="Times New Roman"/>
                  <w:sz w:val="24"/>
                  <w:szCs w:val="24"/>
                </w:rPr>
                <m:t>×z</m:t>
              </m:r>
            </m:e>
          </m:nary>
          <m:r>
            <m:rPr>
              <m:sty m:val="p"/>
            </m:rPr>
            <w:rPr>
              <w:rFonts w:ascii="Cambria Math" w:eastAsiaTheme="minorEastAsia" w:hAnsi="Cambria Math" w:cs="Times New Roman"/>
              <w:sz w:val="24"/>
              <w:szCs w:val="24"/>
            </w:rPr>
            <m:t xml:space="preserve">   (6ç)</m:t>
          </m:r>
        </m:oMath>
      </m:oMathPara>
    </w:p>
    <w:p w14:paraId="562CBAC8" w14:textId="77777777" w:rsidR="004F30D4" w:rsidRPr="00E4115B" w:rsidRDefault="004F30D4" w:rsidP="00C63473">
      <w:pPr>
        <w:jc w:val="both"/>
        <w:rPr>
          <w:rFonts w:ascii="Times New Roman" w:hAnsi="Times New Roman" w:cs="Times New Roman"/>
          <w:sz w:val="24"/>
          <w:szCs w:val="24"/>
        </w:rPr>
      </w:pPr>
    </w:p>
    <w:p w14:paraId="0D066360"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 yer alan formüllerde geçen;</w:t>
      </w:r>
    </w:p>
    <w:p w14:paraId="491F0FC0"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FZDTK</w:t>
      </w:r>
      <w:r w:rsidRPr="00E4115B">
        <w:rPr>
          <w:rFonts w:ascii="Times New Roman" w:hAnsi="Times New Roman" w:cs="Times New Roman"/>
          <w:sz w:val="24"/>
          <w:szCs w:val="24"/>
          <w:vertAlign w:val="subscript"/>
        </w:rPr>
        <w:t>p,d,i</w:t>
      </w:r>
      <w:r w:rsidRPr="00E4115B">
        <w:rPr>
          <w:rFonts w:ascii="Times New Roman" w:hAnsi="Times New Roman" w:cs="Times New Roman"/>
          <w:sz w:val="24"/>
          <w:szCs w:val="24"/>
        </w:rPr>
        <w:tab/>
        <w:t xml:space="preserve">: Kısa pozisyon sahibi “p” piyasa katılımcısının “i” kontratı için “d” gününde hesaplanan fiziksel dönem teminatını, </w:t>
      </w:r>
    </w:p>
    <w:p w14:paraId="47AC033B"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FBT</w:t>
      </w:r>
      <w:r w:rsidRPr="00E4115B">
        <w:rPr>
          <w:rFonts w:ascii="Times New Roman" w:hAnsi="Times New Roman" w:cs="Times New Roman"/>
          <w:sz w:val="24"/>
          <w:szCs w:val="24"/>
          <w:vertAlign w:val="subscript"/>
        </w:rPr>
        <w:t>p,d,i</w:t>
      </w:r>
      <w:r w:rsidRPr="00E4115B">
        <w:rPr>
          <w:rFonts w:ascii="Times New Roman" w:hAnsi="Times New Roman" w:cs="Times New Roman"/>
          <w:sz w:val="24"/>
          <w:szCs w:val="24"/>
        </w:rPr>
        <w:t xml:space="preserve">   :   Kısa pozisyon sahibi “p” piyasa katılımcısının “i” kontratı için “d” gününde hesaplanan fiziksel dönemde oluşması muhtemel borç tutarını, </w:t>
      </w:r>
    </w:p>
    <w:p w14:paraId="2D04B70A"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FAT</w:t>
      </w:r>
      <w:r w:rsidRPr="00E4115B">
        <w:rPr>
          <w:rFonts w:ascii="Times New Roman" w:hAnsi="Times New Roman" w:cs="Times New Roman"/>
          <w:sz w:val="24"/>
          <w:szCs w:val="24"/>
          <w:vertAlign w:val="subscript"/>
        </w:rPr>
        <w:t>p,d,i</w:t>
      </w:r>
      <w:r w:rsidRPr="00E4115B">
        <w:rPr>
          <w:rFonts w:ascii="Times New Roman" w:hAnsi="Times New Roman" w:cs="Times New Roman"/>
          <w:sz w:val="24"/>
          <w:szCs w:val="24"/>
        </w:rPr>
        <w:t xml:space="preserve">    :  Kısa pozisyon sahibi “p” piyasa katılımcısının “i” kontratı için teslimatı gerçekleşmiş günler için faturasına yansıyacak alacak tutarını,</w:t>
      </w:r>
    </w:p>
    <w:p w14:paraId="28EED4D9"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NK</w:t>
      </w:r>
      <w:r w:rsidRPr="00E4115B">
        <w:rPr>
          <w:rFonts w:ascii="Times New Roman" w:hAnsi="Times New Roman" w:cs="Times New Roman"/>
          <w:sz w:val="24"/>
          <w:szCs w:val="24"/>
          <w:vertAlign w:val="subscript"/>
        </w:rPr>
        <w:t>p,d,i</w:t>
      </w:r>
      <w:r w:rsidRPr="00E4115B">
        <w:rPr>
          <w:rFonts w:ascii="Times New Roman" w:hAnsi="Times New Roman" w:cs="Times New Roman"/>
          <w:sz w:val="24"/>
          <w:szCs w:val="24"/>
          <w:vertAlign w:val="subscript"/>
        </w:rPr>
        <w:tab/>
      </w:r>
      <w:r w:rsidRPr="00E4115B">
        <w:rPr>
          <w:rFonts w:ascii="Times New Roman" w:hAnsi="Times New Roman" w:cs="Times New Roman"/>
          <w:sz w:val="24"/>
          <w:szCs w:val="24"/>
        </w:rPr>
        <w:t xml:space="preserve">  :   “p” piyasa katılımcısının “i” kontratına ilişkin “d” gününde netleştirme sonucu hesaplanan net karını,</w:t>
      </w:r>
    </w:p>
    <w:p w14:paraId="6D6856FB"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DGAF</w:t>
      </w:r>
      <w:r w:rsidRPr="00E4115B">
        <w:rPr>
          <w:rFonts w:ascii="Times New Roman" w:hAnsi="Times New Roman" w:cs="Times New Roman"/>
          <w:sz w:val="24"/>
          <w:szCs w:val="24"/>
          <w:vertAlign w:val="subscript"/>
        </w:rPr>
        <w:t>t</w:t>
      </w:r>
      <w:r w:rsidRPr="00E4115B">
        <w:rPr>
          <w:rFonts w:ascii="Times New Roman" w:hAnsi="Times New Roman" w:cs="Times New Roman"/>
          <w:sz w:val="24"/>
          <w:szCs w:val="24"/>
        </w:rPr>
        <w:tab/>
        <w:t xml:space="preserve">   :   teminat hesabı yapılan “d” günü öncesi son 10 günde oluşmuş en yüksek DGAF’yi, </w:t>
      </w:r>
    </w:p>
    <w:p w14:paraId="56DDC654"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EF</w:t>
      </w:r>
      <w:r w:rsidRPr="00E4115B">
        <w:rPr>
          <w:rFonts w:ascii="Times New Roman" w:hAnsi="Times New Roman" w:cs="Times New Roman"/>
          <w:sz w:val="24"/>
          <w:szCs w:val="24"/>
          <w:vertAlign w:val="subscript"/>
        </w:rPr>
        <w:t>p,i,j,k</w:t>
      </w:r>
      <w:r w:rsidRPr="00E4115B">
        <w:rPr>
          <w:rFonts w:ascii="Times New Roman" w:hAnsi="Times New Roman" w:cs="Times New Roman"/>
          <w:sz w:val="24"/>
          <w:szCs w:val="24"/>
        </w:rPr>
        <w:tab/>
        <w:t xml:space="preserve">  :   Kısa pozisyon sahibi “p” piyasa katılımcısının “i” kontratındaki “j” pozisyonu için eşleşme fiyatını,</w:t>
      </w:r>
    </w:p>
    <w:p w14:paraId="150E7B21"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i</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    “i” kontratının teslimat dönemini kapsayan gaz günü sayısını, </w:t>
      </w:r>
    </w:p>
    <w:p w14:paraId="67966911"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z</w:t>
      </w:r>
      <w:r w:rsidRPr="00E4115B">
        <w:rPr>
          <w:rFonts w:ascii="Times New Roman" w:hAnsi="Times New Roman" w:cs="Times New Roman"/>
          <w:sz w:val="24"/>
          <w:szCs w:val="24"/>
        </w:rPr>
        <w:tab/>
        <w:t>:    Teslimatı gerçekleşmiş gün sayısını,</w:t>
      </w:r>
    </w:p>
    <w:p w14:paraId="1049A757"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p,i,j,k</w:t>
      </w:r>
      <w:r w:rsidRPr="00E4115B">
        <w:rPr>
          <w:rFonts w:ascii="Times New Roman" w:hAnsi="Times New Roman" w:cs="Times New Roman"/>
          <w:sz w:val="24"/>
          <w:szCs w:val="24"/>
        </w:rPr>
        <w:tab/>
        <w:t xml:space="preserve">:     Kısa pozisyon sahibi “p” piyasa katılımcısının “i” kontratında sahip olduğu “j” pozisyonunun eşleşme miktarını, </w:t>
      </w:r>
    </w:p>
    <w:p w14:paraId="74A5793D"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n</w:t>
      </w:r>
      <w:r w:rsidRPr="00E4115B">
        <w:rPr>
          <w:rFonts w:ascii="Times New Roman" w:hAnsi="Times New Roman" w:cs="Times New Roman"/>
          <w:sz w:val="24"/>
          <w:szCs w:val="24"/>
        </w:rPr>
        <w:tab/>
        <w:t>:   “p” piyasa katılımcısının kısa pozisyon sahibi olduğu kontrat sayısını</w:t>
      </w:r>
    </w:p>
    <w:p w14:paraId="0B2901B0"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3F327F66" w14:textId="77777777" w:rsidR="004F30D4" w:rsidRPr="00E4115B" w:rsidRDefault="004F30D4" w:rsidP="00C63473">
      <w:pPr>
        <w:jc w:val="both"/>
        <w:rPr>
          <w:rFonts w:ascii="Times New Roman" w:hAnsi="Times New Roman" w:cs="Times New Roman"/>
          <w:sz w:val="24"/>
          <w:szCs w:val="24"/>
        </w:rPr>
      </w:pPr>
    </w:p>
    <w:p w14:paraId="0F4E4A51" w14:textId="194D4DC7" w:rsidR="004F30D4" w:rsidRPr="00E4115B" w:rsidRDefault="004F30D4" w:rsidP="00A019C7">
      <w:pPr>
        <w:pStyle w:val="Balk3"/>
        <w:ind w:left="0" w:hanging="11"/>
        <w:rPr>
          <w:b w:val="0"/>
        </w:rPr>
      </w:pPr>
      <w:r w:rsidRPr="00E4115B">
        <w:rPr>
          <w:b w:val="0"/>
        </w:rPr>
        <w:lastRenderedPageBreak/>
        <w:t xml:space="preserve">İlgili piyasa katılımcısının PUE ve </w:t>
      </w:r>
      <w:r w:rsidR="00044390">
        <w:rPr>
          <w:b w:val="0"/>
        </w:rPr>
        <w:t>bu Usul ve Esaslar</w:t>
      </w:r>
      <w:r w:rsidRPr="00E4115B">
        <w:rPr>
          <w:b w:val="0"/>
        </w:rPr>
        <w:t xml:space="preserve"> uyarınca ödenmemiş avans ve/veya fatura borcu bulunması halinde, fiziksel dönem teminatı hesaplanırken kullanılan teslimatı gerçekleşmiş gün sayısını ifade eden “z” sayısı, 0 (sıfır) kabul edilir. </w:t>
      </w:r>
    </w:p>
    <w:p w14:paraId="4985CC3C" w14:textId="77777777" w:rsidR="004F30D4" w:rsidRPr="00E4115B" w:rsidRDefault="004F30D4" w:rsidP="00A019C7">
      <w:pPr>
        <w:pStyle w:val="Balk3"/>
        <w:ind w:left="0" w:hanging="11"/>
        <w:rPr>
          <w:b w:val="0"/>
        </w:rPr>
      </w:pPr>
      <w:r w:rsidRPr="00E4115B">
        <w:rPr>
          <w:b w:val="0"/>
        </w:rPr>
        <w:t>Uzun ve/veya kısa pozisyon sahibi bir piyasa katılımcısı için fiziksel dönem teminatı aşağıdaki formüle göre hesaplanır;</w:t>
      </w:r>
    </w:p>
    <w:p w14:paraId="4B8C246D" w14:textId="77777777" w:rsidR="004F30D4" w:rsidRPr="00E4115B" w:rsidRDefault="00F92C1E"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FZDT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FZDTU</m:t>
              </m:r>
            </m:e>
            <m:sub>
              <m:r>
                <m:rPr>
                  <m:sty m:val="p"/>
                </m:rPr>
                <w:rPr>
                  <w:rFonts w:ascii="Cambria Math" w:hAnsi="Cambria Math" w:cs="Times New Roman"/>
                  <w:sz w:val="24"/>
                  <w:szCs w:val="24"/>
                </w:rPr>
                <m:t>p, d, 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FZDTK</m:t>
              </m:r>
            </m:e>
            <m:sub>
              <m:r>
                <m:rPr>
                  <m:sty m:val="p"/>
                </m:rPr>
                <w:rPr>
                  <w:rFonts w:ascii="Cambria Math" w:hAnsi="Cambria Math" w:cs="Times New Roman"/>
                  <w:sz w:val="24"/>
                  <w:szCs w:val="24"/>
                </w:rPr>
                <m:t>p, d, i</m:t>
              </m:r>
            </m:sub>
          </m:sSub>
          <m:r>
            <m:rPr>
              <m:sty m:val="p"/>
            </m:rPr>
            <w:rPr>
              <w:rFonts w:ascii="Cambria Math" w:hAnsi="Cambria Math" w:cs="Times New Roman"/>
              <w:sz w:val="24"/>
              <w:szCs w:val="24"/>
            </w:rPr>
            <m:t xml:space="preserve">       (6d)</m:t>
          </m:r>
        </m:oMath>
      </m:oMathPara>
    </w:p>
    <w:p w14:paraId="5A5E417D" w14:textId="77777777" w:rsidR="004F30D4" w:rsidRPr="00E4115B" w:rsidRDefault="004F30D4" w:rsidP="00C63473">
      <w:pPr>
        <w:jc w:val="both"/>
        <w:rPr>
          <w:rFonts w:ascii="Times New Roman" w:hAnsi="Times New Roman" w:cs="Times New Roman"/>
          <w:sz w:val="24"/>
          <w:szCs w:val="24"/>
        </w:rPr>
      </w:pPr>
    </w:p>
    <w:p w14:paraId="6D0334B8"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 yer alan formüllerde geçen;</w:t>
      </w:r>
    </w:p>
    <w:p w14:paraId="2F0A6EA8"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FZDT</w:t>
      </w:r>
      <w:r w:rsidRPr="00E4115B">
        <w:rPr>
          <w:rFonts w:ascii="Times New Roman" w:hAnsi="Times New Roman" w:cs="Times New Roman"/>
          <w:sz w:val="24"/>
          <w:szCs w:val="24"/>
          <w:vertAlign w:val="subscript"/>
        </w:rPr>
        <w:t xml:space="preserve">p,d    </w:t>
      </w:r>
      <w:r w:rsidRPr="00E4115B">
        <w:rPr>
          <w:rFonts w:ascii="Times New Roman" w:hAnsi="Times New Roman" w:cs="Times New Roman"/>
          <w:sz w:val="24"/>
          <w:szCs w:val="24"/>
        </w:rPr>
        <w:t>:</w:t>
      </w:r>
      <w:r w:rsidRPr="00E4115B">
        <w:rPr>
          <w:rFonts w:ascii="Times New Roman" w:hAnsi="Times New Roman" w:cs="Times New Roman"/>
          <w:sz w:val="24"/>
          <w:szCs w:val="24"/>
        </w:rPr>
        <w:tab/>
        <w:t>“p” piyasa katılımcısının, “d” gününde hesaplanan fiziksel dönem teminatını (TL),</w:t>
      </w:r>
    </w:p>
    <w:p w14:paraId="3E43E797"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FZDTU</w:t>
      </w:r>
      <w:r w:rsidRPr="00E4115B">
        <w:rPr>
          <w:rFonts w:ascii="Times New Roman" w:hAnsi="Times New Roman" w:cs="Times New Roman"/>
          <w:sz w:val="24"/>
          <w:szCs w:val="24"/>
          <w:vertAlign w:val="subscript"/>
        </w:rPr>
        <w:t xml:space="preserve">p,d,i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Uzun pozisyon sahibi “p” piyasa katılımcısının “i” kontratı için “d” gününde hesaplanan fiziksel dönem teminatını, </w:t>
      </w:r>
    </w:p>
    <w:p w14:paraId="4E186D69"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FZDTK</w:t>
      </w:r>
      <w:r w:rsidRPr="00E4115B">
        <w:rPr>
          <w:rFonts w:ascii="Times New Roman" w:hAnsi="Times New Roman" w:cs="Times New Roman"/>
          <w:sz w:val="24"/>
          <w:szCs w:val="24"/>
          <w:vertAlign w:val="subscript"/>
        </w:rPr>
        <w:t>p,d,i</w:t>
      </w:r>
      <w:r w:rsidRPr="00E4115B">
        <w:rPr>
          <w:rFonts w:ascii="Times New Roman" w:hAnsi="Times New Roman" w:cs="Times New Roman"/>
          <w:sz w:val="24"/>
          <w:szCs w:val="24"/>
        </w:rPr>
        <w:tab/>
        <w:t>:</w:t>
      </w:r>
      <w:r w:rsidRPr="00E4115B">
        <w:rPr>
          <w:rFonts w:ascii="Times New Roman" w:hAnsi="Times New Roman" w:cs="Times New Roman"/>
          <w:sz w:val="24"/>
          <w:szCs w:val="24"/>
        </w:rPr>
        <w:tab/>
        <w:t>Kısa pozisyon sahibi “p” piyasa katılımcısının “i” kontratı için “d” gününde hesaplanan fiziksel dönem teminatını,</w:t>
      </w:r>
    </w:p>
    <w:p w14:paraId="1A2A4205"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62336A5E" w14:textId="77777777" w:rsidR="004F30D4" w:rsidRPr="00E4115B" w:rsidRDefault="004F30D4" w:rsidP="00C63473">
      <w:pPr>
        <w:jc w:val="both"/>
        <w:rPr>
          <w:rFonts w:ascii="Times New Roman" w:hAnsi="Times New Roman" w:cs="Times New Roman"/>
          <w:sz w:val="24"/>
          <w:szCs w:val="24"/>
        </w:rPr>
      </w:pPr>
    </w:p>
    <w:p w14:paraId="69848CF6" w14:textId="77777777" w:rsidR="004F30D4" w:rsidRPr="00E4115B" w:rsidRDefault="004F30D4" w:rsidP="00A019C7">
      <w:pPr>
        <w:pStyle w:val="Balk2"/>
      </w:pPr>
      <w:bookmarkStart w:id="76" w:name="_Toc64755968"/>
      <w:r w:rsidRPr="00E4115B">
        <w:t>Toplam VGP Teminatının Hesaplanması</w:t>
      </w:r>
      <w:bookmarkEnd w:id="76"/>
    </w:p>
    <w:p w14:paraId="1D209A07" w14:textId="77777777" w:rsidR="004F30D4" w:rsidRPr="00E4115B" w:rsidRDefault="004F30D4" w:rsidP="00A019C7">
      <w:pPr>
        <w:pStyle w:val="Balk3"/>
        <w:ind w:left="0" w:hanging="11"/>
        <w:rPr>
          <w:b w:val="0"/>
        </w:rPr>
      </w:pPr>
      <w:r w:rsidRPr="00E4115B">
        <w:rPr>
          <w:b w:val="0"/>
        </w:rPr>
        <w:t>Piyasa katılımcılarının, herhangi bir günde sunması gereken toplam VGP teminatı aşağıdaki şekilde hesaplanır:</w:t>
      </w:r>
    </w:p>
    <w:p w14:paraId="06C1BE29" w14:textId="77777777" w:rsidR="004F30D4" w:rsidRPr="00E4115B" w:rsidRDefault="00F92C1E"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TVGPT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t>
          </m:r>
          <m:d>
            <m:dPr>
              <m:begChr m:val="["/>
              <m:endChr m:val="]"/>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BT</m:t>
                  </m:r>
                </m:e>
                <m:sub>
                  <m:r>
                    <m:rPr>
                      <m:sty m:val="p"/>
                    </m:rPr>
                    <w:rPr>
                      <w:rFonts w:ascii="Cambria Math" w:hAnsi="Cambria Math" w:cs="Times New Roman"/>
                      <w:sz w:val="24"/>
                      <w:szCs w:val="24"/>
                    </w:rPr>
                    <m:t>p,d</m:t>
                  </m:r>
                </m:sub>
              </m:sSub>
              <m:r>
                <m:rPr>
                  <m:sty m:val="p"/>
                </m:rPr>
                <w:rPr>
                  <w:rFonts w:ascii="Cambria Math" w:hAnsi="Cambria Math" w:cs="Times New Roman"/>
                  <w:sz w:val="24"/>
                  <w:szCs w:val="24"/>
                </w:rPr>
                <m:t>+max</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FNDT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FZDT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,0</m:t>
                  </m:r>
                </m:e>
              </m:d>
            </m:e>
          </m:d>
          <m:r>
            <m:rPr>
              <m:sty m:val="p"/>
            </m:rPr>
            <w:rPr>
              <w:rFonts w:ascii="Cambria Math" w:hAnsi="Cambria Math" w:cs="Times New Roman"/>
              <w:sz w:val="24"/>
              <w:szCs w:val="24"/>
            </w:rPr>
            <m:t>×t    (7)</m:t>
          </m:r>
        </m:oMath>
      </m:oMathPara>
    </w:p>
    <w:p w14:paraId="51A8E689" w14:textId="77777777" w:rsidR="00A019C7" w:rsidRPr="00E4115B" w:rsidRDefault="00A019C7" w:rsidP="00C63473">
      <w:pPr>
        <w:jc w:val="both"/>
        <w:rPr>
          <w:rFonts w:ascii="Times New Roman" w:hAnsi="Times New Roman" w:cs="Times New Roman"/>
          <w:sz w:val="24"/>
          <w:szCs w:val="24"/>
        </w:rPr>
      </w:pPr>
    </w:p>
    <w:p w14:paraId="57A10616"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 yer alan formüllerde geçen;</w:t>
      </w:r>
    </w:p>
    <w:p w14:paraId="57735E8B"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TVGPT</w:t>
      </w:r>
      <w:r w:rsidRPr="00E4115B">
        <w:rPr>
          <w:rFonts w:ascii="Times New Roman" w:hAnsi="Times New Roman" w:cs="Times New Roman"/>
          <w:sz w:val="24"/>
          <w:szCs w:val="24"/>
          <w:vertAlign w:val="subscript"/>
        </w:rPr>
        <w:t>p,d</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“p” piyasa katılımcısının “d” gününde sunması gereken toplam VGP teminatını (TL),</w:t>
      </w:r>
    </w:p>
    <w:p w14:paraId="7FFEF18E"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BT</w:t>
      </w:r>
      <w:r w:rsidRPr="00E4115B">
        <w:rPr>
          <w:rFonts w:ascii="Times New Roman" w:hAnsi="Times New Roman" w:cs="Times New Roman"/>
          <w:sz w:val="24"/>
          <w:szCs w:val="24"/>
          <w:vertAlign w:val="subscript"/>
        </w:rPr>
        <w:t>p,d</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“d” gününde sunması gereken başlangıç teminatını (TL), </w:t>
      </w:r>
    </w:p>
    <w:p w14:paraId="7285C679"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FNDT</w:t>
      </w:r>
      <w:r w:rsidRPr="00E4115B">
        <w:rPr>
          <w:rFonts w:ascii="Times New Roman" w:hAnsi="Times New Roman" w:cs="Times New Roman"/>
          <w:sz w:val="24"/>
          <w:szCs w:val="24"/>
          <w:vertAlign w:val="subscript"/>
        </w:rPr>
        <w:t>p,d</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“p” piyasa katılımcısının, “d” gününde sunması gereken finansal dönem teminatını (TL), </w:t>
      </w:r>
    </w:p>
    <w:p w14:paraId="111C13C2"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FZDT</w:t>
      </w:r>
      <w:r w:rsidRPr="00E4115B">
        <w:rPr>
          <w:rFonts w:ascii="Times New Roman" w:hAnsi="Times New Roman" w:cs="Times New Roman"/>
          <w:sz w:val="24"/>
          <w:szCs w:val="24"/>
          <w:vertAlign w:val="subscript"/>
        </w:rPr>
        <w:t>p,d</w:t>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“p” piyasa katılımcısının, “d” gününde sunması gereken fiziksel dönem teminatını (TL), </w:t>
      </w:r>
    </w:p>
    <w:p w14:paraId="7D2EC06E" w14:textId="2DA3E504" w:rsidR="004F30D4" w:rsidRPr="00E4115B" w:rsidRDefault="00424C95" w:rsidP="00C63473">
      <w:pPr>
        <w:jc w:val="both"/>
        <w:rPr>
          <w:rFonts w:ascii="Times New Roman" w:hAnsi="Times New Roman" w:cs="Times New Roman"/>
          <w:sz w:val="24"/>
          <w:szCs w:val="24"/>
        </w:rPr>
      </w:pPr>
      <w:r>
        <w:rPr>
          <w:rFonts w:ascii="Times New Roman" w:hAnsi="Times New Roman" w:cs="Times New Roman"/>
          <w:sz w:val="24"/>
          <w:szCs w:val="24"/>
        </w:rPr>
        <w:t xml:space="preserve">t   </w:t>
      </w:r>
      <w:r>
        <w:rPr>
          <w:rFonts w:ascii="Times New Roman" w:hAnsi="Times New Roman" w:cs="Times New Roman"/>
          <w:sz w:val="24"/>
          <w:szCs w:val="24"/>
        </w:rPr>
        <w:tab/>
        <w:t>: P</w:t>
      </w:r>
      <w:r w:rsidR="004F30D4" w:rsidRPr="00E4115B">
        <w:rPr>
          <w:rFonts w:ascii="Times New Roman" w:hAnsi="Times New Roman" w:cs="Times New Roman"/>
          <w:sz w:val="24"/>
          <w:szCs w:val="24"/>
        </w:rPr>
        <w:t>iyasa katılımcılarının geçmiş temerrüt durumlarına göre piyasa işletmecisi tarafından belirlenen risk katsayısını</w:t>
      </w:r>
    </w:p>
    <w:p w14:paraId="05993CB1"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ifade eder.</w:t>
      </w:r>
    </w:p>
    <w:p w14:paraId="62BA082C" w14:textId="77777777" w:rsidR="004F30D4" w:rsidRPr="00E4115B" w:rsidRDefault="004F30D4" w:rsidP="00C63473">
      <w:pPr>
        <w:jc w:val="both"/>
        <w:rPr>
          <w:rFonts w:ascii="Times New Roman" w:hAnsi="Times New Roman" w:cs="Times New Roman"/>
          <w:sz w:val="24"/>
          <w:szCs w:val="24"/>
        </w:rPr>
      </w:pPr>
    </w:p>
    <w:p w14:paraId="15D870D4" w14:textId="77777777" w:rsidR="004F30D4" w:rsidRPr="00E4115B" w:rsidRDefault="004F30D4" w:rsidP="00A019C7">
      <w:pPr>
        <w:pStyle w:val="Balk3"/>
        <w:ind w:left="0" w:hanging="11"/>
        <w:rPr>
          <w:b w:val="0"/>
        </w:rPr>
      </w:pPr>
      <w:r w:rsidRPr="00E4115B">
        <w:rPr>
          <w:b w:val="0"/>
        </w:rPr>
        <w:lastRenderedPageBreak/>
        <w:t>VGP’de, piyasa katılımcısı tarafından sunulması gereken toplam VGP teminatı tutarına ilişkin olarak hesaplamada kullanılacak risk katsayısı (t)’nin varsayılan değeri 1’dir.</w:t>
      </w:r>
    </w:p>
    <w:p w14:paraId="2B6D3D9F" w14:textId="77777777" w:rsidR="004F30D4" w:rsidRPr="00E4115B" w:rsidRDefault="004F30D4" w:rsidP="00A019C7">
      <w:pPr>
        <w:pStyle w:val="Balk3"/>
        <w:ind w:left="0" w:hanging="11"/>
        <w:rPr>
          <w:b w:val="0"/>
        </w:rPr>
      </w:pPr>
      <w:r w:rsidRPr="00E4115B">
        <w:rPr>
          <w:b w:val="0"/>
        </w:rPr>
        <w:t xml:space="preserve"> Gün sonu işlemleri çerçevesinde yapılan toplam teminat hesaplamasında, içinde bulunulan gün de dahil olmak üzere son 180 günde teminat kontrol zamanında yapılan kontrolde mevcut teminat tutarı bulundurması gereken toplam VGP teminatı tutarını karşılamadığı gün sayısı 5 ilâ 9 arası olan piyasa katılımcıları için risk katsayısı (t) 1,05 olarak uygulanır. Söz konusu kontrolde gün sayısı 10 ve daha fazla olan piyasa katılımcıları için ise mezkur katsayısı 1,1 olarak uygulanır. </w:t>
      </w:r>
    </w:p>
    <w:p w14:paraId="18E1D6FA" w14:textId="77777777" w:rsidR="004F30D4" w:rsidRPr="00E4115B" w:rsidRDefault="004F30D4" w:rsidP="00A019C7">
      <w:pPr>
        <w:pStyle w:val="Balk3"/>
        <w:ind w:left="0" w:hanging="11"/>
        <w:rPr>
          <w:b w:val="0"/>
        </w:rPr>
      </w:pPr>
      <w:r w:rsidRPr="00E4115B">
        <w:rPr>
          <w:b w:val="0"/>
        </w:rPr>
        <w:t>Gün sonu işlemleri çerçevesinde her bir piyasa katılımcısı için belirlenen risk katsayısı, hesaplamanın yapıldığı günü takip eden ilk işlem günü seans içi dönem boyunca da geçerlidir. Hesaplamayı takip eden ilk işlem günü, gün sonu işlemleri çerçevesinde yapılan toplam VGP teminatı hesaplamasında risk katsayısı yeniden belirlenir.</w:t>
      </w:r>
    </w:p>
    <w:p w14:paraId="2B0102F9" w14:textId="77777777" w:rsidR="004F30D4" w:rsidRPr="00E4115B" w:rsidRDefault="004F30D4" w:rsidP="00A019C7">
      <w:pPr>
        <w:pStyle w:val="Balk2"/>
      </w:pPr>
      <w:bookmarkStart w:id="77" w:name="_Toc64755969"/>
      <w:r w:rsidRPr="00E4115B">
        <w:t>Teminat İşlemleri ve Kontrolüne İlişkin Süreçler</w:t>
      </w:r>
      <w:bookmarkEnd w:id="77"/>
    </w:p>
    <w:p w14:paraId="60DBCF3D" w14:textId="77777777" w:rsidR="004F30D4" w:rsidRPr="00E4115B" w:rsidRDefault="004F30D4" w:rsidP="00A019C7">
      <w:pPr>
        <w:pStyle w:val="Balk3"/>
        <w:ind w:left="0" w:hanging="11"/>
        <w:rPr>
          <w:b w:val="0"/>
        </w:rPr>
      </w:pPr>
      <w:r w:rsidRPr="00E4115B">
        <w:rPr>
          <w:b w:val="0"/>
        </w:rPr>
        <w:t xml:space="preserve">Piyasa işletmecisi piyasa katılımcılarına VGP’de açık olan seanslarda işlem yapabilmeleri için yatırmaları gereken toplam VGP teminat tutarını bildirir. </w:t>
      </w:r>
    </w:p>
    <w:p w14:paraId="6BAA4D9F" w14:textId="77777777" w:rsidR="004F30D4" w:rsidRPr="00E4115B" w:rsidRDefault="004F30D4" w:rsidP="00A019C7">
      <w:pPr>
        <w:pStyle w:val="Balk3"/>
        <w:ind w:left="0" w:hanging="11"/>
        <w:rPr>
          <w:b w:val="0"/>
        </w:rPr>
      </w:pPr>
      <w:r w:rsidRPr="00E4115B">
        <w:rPr>
          <w:b w:val="0"/>
        </w:rPr>
        <w:t>Piyasa işletmecisi her seans başlangıcından 30 dakika önce katılımcıların toplam VGP teminatı tutarlarını kontrol eder. Piyasa işletmecisi tarafından kendilerine bildirilen toplam VGP teminatı tutarını yatırmamış olan piyasa katılımcıları VGP seanslarında işlem gerçekleştiremez.</w:t>
      </w:r>
    </w:p>
    <w:p w14:paraId="7F70AD44" w14:textId="77777777" w:rsidR="004F30D4" w:rsidRPr="00E4115B" w:rsidRDefault="004F30D4" w:rsidP="00A019C7">
      <w:pPr>
        <w:pStyle w:val="Balk3"/>
        <w:ind w:left="0" w:hanging="11"/>
        <w:rPr>
          <w:b w:val="0"/>
        </w:rPr>
      </w:pPr>
      <w:r w:rsidRPr="00E4115B">
        <w:rPr>
          <w:b w:val="0"/>
        </w:rPr>
        <w:t>Piyasa katılımcılarının hesaplarında bulunan teminat tutarı, piyasa işletmecisi tarafından bildirilen toplam VGP teminatı tutarı kadarı bloke edilir. Bloke edilen teminat tutarının üzerindeki tutar serbest teminat tutarı olarak kabul edilir.</w:t>
      </w:r>
    </w:p>
    <w:p w14:paraId="20B4081C" w14:textId="77777777" w:rsidR="004F30D4" w:rsidRPr="00E4115B" w:rsidRDefault="004F30D4" w:rsidP="00A019C7">
      <w:pPr>
        <w:pStyle w:val="Balk3"/>
        <w:ind w:left="0" w:hanging="11"/>
        <w:rPr>
          <w:b w:val="0"/>
        </w:rPr>
      </w:pPr>
      <w:r w:rsidRPr="00E4115B">
        <w:rPr>
          <w:b w:val="0"/>
        </w:rPr>
        <w:t xml:space="preserve">Seans içerisinde VGP’de gerçekleşen işlemlerde finansal dönem teminatı hesaplamaları esas alınır. Seans içerisinde mevcut tekliflerin eşleşmesi ile beraber finansal dönem teminatı hesabı güncellenir. </w:t>
      </w:r>
    </w:p>
    <w:p w14:paraId="35A7DE22" w14:textId="77777777" w:rsidR="004F30D4" w:rsidRPr="00E4115B" w:rsidRDefault="004F30D4" w:rsidP="00A019C7">
      <w:pPr>
        <w:pStyle w:val="Balk3"/>
        <w:ind w:left="0" w:hanging="11"/>
        <w:rPr>
          <w:b w:val="0"/>
        </w:rPr>
      </w:pPr>
      <w:r w:rsidRPr="00E4115B">
        <w:rPr>
          <w:b w:val="0"/>
        </w:rPr>
        <w:t>Piyasa katılımcılarının VGP’de teklif verebilmeleri için, her bir teklif öncesinde teklif miktar, fiyat ve yönü dikkate alınarak anlık olarak yeniden hesaplanan finansal dönem teminatı tutarı ile en son hesaplanmış olan finansal dönem teminat tutarı arasındaki fark kadar tutarın serbest teminat tutarı olarak teminat hesabında bulunması gerekir. Teklifin kaydedilmesi ile beraber iki hesap arasındaki fark kadar tutar piyasa katılımcısının teminat hesabında bloke edilir.</w:t>
      </w:r>
    </w:p>
    <w:p w14:paraId="04018E87" w14:textId="77777777" w:rsidR="004F30D4" w:rsidRPr="00E4115B" w:rsidRDefault="004F30D4" w:rsidP="00A019C7">
      <w:pPr>
        <w:pStyle w:val="Balk3"/>
        <w:ind w:left="0" w:hanging="11"/>
        <w:rPr>
          <w:b w:val="0"/>
        </w:rPr>
      </w:pPr>
      <w:r w:rsidRPr="00E4115B">
        <w:rPr>
          <w:b w:val="0"/>
        </w:rPr>
        <w:t xml:space="preserve">Eşleşen tekliflerin finansal dönem teminatı tutarına azaltıcı etki etmesi durumunda bloke edilen teminat tutarı da aynı oranda azaltılır. </w:t>
      </w:r>
    </w:p>
    <w:p w14:paraId="4AC59228" w14:textId="77777777" w:rsidR="00A019C7" w:rsidRPr="00E4115B" w:rsidRDefault="004F30D4" w:rsidP="00A019C7">
      <w:pPr>
        <w:pStyle w:val="Balk3"/>
        <w:ind w:left="0" w:hanging="11"/>
        <w:rPr>
          <w:b w:val="0"/>
        </w:rPr>
      </w:pPr>
      <w:r w:rsidRPr="00E4115B">
        <w:rPr>
          <w:b w:val="0"/>
        </w:rPr>
        <w:t>Piyasa işletmecisi her iş günü saat 17:00’ye kadar, piyasa katılımcısı bazında sunulması gereken teminat tutarlarına ilişkin gerekli hesaplamaları yaparak, piyasa katılımcılarını ve piyasa katılımcısı bazında merkezi uzlaştırma kuruluşunu bilgilendirir. Bir piyasa katılımcısının VGP faaliyetlerine ilişkin olarak sunmuş olduğu toplam teminat tutarının, sunulması gereken toplam VGP teminat tutarını karşılamaması durumunda ilgili piyasa katılımcısına merkezi uzlaştırma kuruluşu tarafından “teminat tamamlama çağrısı” yapılır.</w:t>
      </w:r>
    </w:p>
    <w:p w14:paraId="1884DC74" w14:textId="77777777" w:rsidR="004F30D4" w:rsidRPr="00E4115B" w:rsidRDefault="004F30D4" w:rsidP="00A019C7">
      <w:pPr>
        <w:pStyle w:val="Balk3"/>
        <w:ind w:left="0" w:hanging="11"/>
        <w:rPr>
          <w:b w:val="0"/>
        </w:rPr>
      </w:pPr>
      <w:r w:rsidRPr="00E4115B">
        <w:rPr>
          <w:b w:val="0"/>
        </w:rPr>
        <w:t xml:space="preserve">Piyasa katılımcıları her seans başlangıcından 30 dakika önce yapılacak teminat kontrolleri için, teminat mektuplarını seans başlama saatinden 60 dakika öncesine kadar piyasa </w:t>
      </w:r>
      <w:r w:rsidRPr="00E4115B">
        <w:rPr>
          <w:b w:val="0"/>
        </w:rPr>
        <w:lastRenderedPageBreak/>
        <w:t>işletmecisine, teminat mektubu dışındaki diğer teminatları ise teminat kontrol zamanına kadar merkezi uzlaştırma kuruluşuna sunar.</w:t>
      </w:r>
    </w:p>
    <w:p w14:paraId="3C0A1267" w14:textId="77777777" w:rsidR="004F30D4" w:rsidRPr="00E4115B" w:rsidRDefault="004F30D4" w:rsidP="00A019C7">
      <w:pPr>
        <w:pStyle w:val="Balk3"/>
        <w:ind w:left="0" w:hanging="11"/>
        <w:rPr>
          <w:b w:val="0"/>
        </w:rPr>
      </w:pPr>
      <w:r w:rsidRPr="00E4115B">
        <w:rPr>
          <w:b w:val="0"/>
        </w:rPr>
        <w:t xml:space="preserve">Piyasa işletmecisi her iş günü, teminat kontrol zamanından 30 dakika öncesine kadar kendisine sunulan teminat mektubu miktarına ilişkin bilgileri en geç seans başlama saatinden 30 dakika öncesine kadar, piyasa katılımcısı bazında merkezi uzlaştırma kuruluşuna bildirir. </w:t>
      </w:r>
    </w:p>
    <w:p w14:paraId="6970BF19" w14:textId="77777777" w:rsidR="004F30D4" w:rsidRPr="00E4115B" w:rsidRDefault="004F30D4" w:rsidP="00A019C7">
      <w:pPr>
        <w:pStyle w:val="Balk3"/>
        <w:ind w:left="0" w:hanging="11"/>
        <w:rPr>
          <w:b w:val="0"/>
        </w:rPr>
      </w:pPr>
      <w:r w:rsidRPr="00E4115B">
        <w:rPr>
          <w:b w:val="0"/>
        </w:rPr>
        <w:t xml:space="preserve">Merkezi uzlaştırma kuruluşu piyasa katılımcıları tarafından sunulan teminat tutarına ilişkin güncel bilgileri piyasa katılımcısı bazında Piyasa işletmecisine her iş günü saat 12:00 -17:00 saatleri arasında bildirir. </w:t>
      </w:r>
    </w:p>
    <w:p w14:paraId="25601F70" w14:textId="77777777" w:rsidR="004F30D4" w:rsidRPr="00E4115B" w:rsidRDefault="004F30D4" w:rsidP="00A019C7">
      <w:pPr>
        <w:pStyle w:val="Balk3"/>
        <w:ind w:left="0" w:hanging="11"/>
        <w:rPr>
          <w:b w:val="0"/>
        </w:rPr>
      </w:pPr>
      <w:r w:rsidRPr="00E4115B">
        <w:rPr>
          <w:b w:val="0"/>
        </w:rPr>
        <w:t>VGP faaliyetleri kapsamında, bir piyasa katılımcısının sunmuş olduğu teminat tutarının, bulundurması gereken tutarın altına düşmesi durumunda, merkezi uzlaştırma kuruluşu gün sonu işlemlerinin tamamlanmasını müteakip ilgili piyasa katılımcısına teminat tamamlama çağrısı yapar.</w:t>
      </w:r>
    </w:p>
    <w:p w14:paraId="73A2E11A" w14:textId="77777777" w:rsidR="004F30D4" w:rsidRPr="00E4115B" w:rsidRDefault="004F30D4" w:rsidP="00A019C7">
      <w:pPr>
        <w:pStyle w:val="Balk3"/>
        <w:ind w:left="0" w:hanging="11"/>
        <w:rPr>
          <w:b w:val="0"/>
        </w:rPr>
      </w:pPr>
      <w:r w:rsidRPr="00E4115B">
        <w:rPr>
          <w:b w:val="0"/>
        </w:rPr>
        <w:t>Kendisine teminat tamamlama çağrısı yapılan bir piyasa katılımcısı, ilgili piyasa faaliyetlerine devam edebilmek için, en az kendisine bildirilen kadar teminatını, teminatın niteliğine göre merkezi uzlaştırma bankasına ve/veya piyasa işletmecisine bir sonraki teminat kontrolünden önce sunar.</w:t>
      </w:r>
    </w:p>
    <w:p w14:paraId="5CAE0765" w14:textId="0D995EFD" w:rsidR="004F30D4" w:rsidRPr="007966DB" w:rsidRDefault="004F30D4" w:rsidP="00C63473">
      <w:pPr>
        <w:pStyle w:val="Balk3"/>
        <w:ind w:left="0" w:hanging="11"/>
        <w:rPr>
          <w:b w:val="0"/>
        </w:rPr>
      </w:pPr>
      <w:r w:rsidRPr="00E4115B">
        <w:rPr>
          <w:b w:val="0"/>
        </w:rPr>
        <w:t xml:space="preserve">Bu Usul ve </w:t>
      </w:r>
      <w:r w:rsidR="00A019C7" w:rsidRPr="00E4115B">
        <w:rPr>
          <w:b w:val="0"/>
        </w:rPr>
        <w:t>Esaslar uyarınca</w:t>
      </w:r>
      <w:r w:rsidRPr="00E4115B">
        <w:rPr>
          <w:b w:val="0"/>
        </w:rPr>
        <w:t xml:space="preserve"> teminat bildirimleri sonucu gerçekleştirilen kontrollerde gerekli teminat tamamlama çağrısına uymayan piyasa katılımcılarının temerrüde düştüğü kabul edilir, temerrüt yönetimi hükümleri uygulanır.</w:t>
      </w:r>
    </w:p>
    <w:p w14:paraId="1B5E9326" w14:textId="77777777" w:rsidR="004F30D4" w:rsidRPr="00E4115B" w:rsidRDefault="004F30D4" w:rsidP="00A019C7">
      <w:pPr>
        <w:pStyle w:val="Balk2"/>
      </w:pPr>
      <w:bookmarkStart w:id="78" w:name="_Toc64755970"/>
      <w:r w:rsidRPr="00E4115B">
        <w:t>Teminat Olarak Kabul Edilecek Kıymetler</w:t>
      </w:r>
      <w:bookmarkEnd w:id="78"/>
    </w:p>
    <w:p w14:paraId="163FCA09" w14:textId="77777777" w:rsidR="004F30D4" w:rsidRPr="00E4115B" w:rsidRDefault="004F30D4" w:rsidP="00A019C7">
      <w:pPr>
        <w:pStyle w:val="Balk3"/>
        <w:ind w:left="0" w:hanging="11"/>
        <w:rPr>
          <w:b w:val="0"/>
        </w:rPr>
      </w:pPr>
      <w:r w:rsidRPr="00E4115B">
        <w:rPr>
          <w:b w:val="0"/>
        </w:rPr>
        <w:t>VGP’de teminat olarak kabul edilebilecek kıymetler aşağıda belirtilmiştir:</w:t>
      </w:r>
    </w:p>
    <w:p w14:paraId="28367BB6"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a. Türk Lirası.</w:t>
      </w:r>
    </w:p>
    <w:p w14:paraId="4D34B0AF"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b. Döviz (ABD Doları veya Avro).</w:t>
      </w:r>
    </w:p>
    <w:p w14:paraId="796B12EC"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c. Bankacılık mevzuatına tabi ve Türkiye’de faaliyet gösteren bankalar tarafından hazırlanmış olan TL veya döviz cinsinden (ABD Doları veya Avro) kesin ve süresiz teminat mektupları.</w:t>
      </w:r>
    </w:p>
    <w:p w14:paraId="1BC1D069" w14:textId="77777777" w:rsidR="004F30D4" w:rsidRPr="00E4115B" w:rsidRDefault="00A019C7"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4F30D4" w:rsidRPr="00E4115B">
        <w:rPr>
          <w:rFonts w:ascii="Times New Roman" w:hAnsi="Times New Roman" w:cs="Times New Roman"/>
          <w:sz w:val="24"/>
          <w:szCs w:val="24"/>
        </w:rPr>
        <w:t>. Bankacılık mevzuatına göre Türkiye’de faaliyette bulunmasına izin verilen yabancı bankalar ile Türkiye dışında faaliyette bulunan banka veya benzeri kredi kuruluşlarının kontr garantisi üzerine bankacılık mevzuatına tabi bankaların düzenleyecekleri TL veya döviz cinsinden (ABD Doları veya Avro) kesin ve süresiz teminat mektupları.</w:t>
      </w:r>
    </w:p>
    <w:p w14:paraId="75651C8A" w14:textId="77777777" w:rsidR="004F30D4" w:rsidRPr="00E4115B" w:rsidRDefault="00A019C7"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4F30D4" w:rsidRPr="00E4115B">
        <w:rPr>
          <w:rFonts w:ascii="Times New Roman" w:hAnsi="Times New Roman" w:cs="Times New Roman"/>
          <w:sz w:val="24"/>
          <w:szCs w:val="24"/>
        </w:rPr>
        <w:t>. Hamiline olmak kaydıyla T.C. Hazine ve Maliye Bakanlığınca ihraç edilen Devlet İç Borçlanma Senetleri.</w:t>
      </w:r>
    </w:p>
    <w:p w14:paraId="4304D684" w14:textId="77777777" w:rsidR="004F30D4" w:rsidRPr="00E4115B" w:rsidRDefault="00A019C7"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e. </w:t>
      </w:r>
      <w:r w:rsidR="004F30D4" w:rsidRPr="00E4115B">
        <w:rPr>
          <w:rFonts w:ascii="Times New Roman" w:hAnsi="Times New Roman" w:cs="Times New Roman"/>
          <w:sz w:val="24"/>
          <w:szCs w:val="24"/>
        </w:rPr>
        <w:t>T.C. Hazine ve Maliye Bakanlığınca ihraç edilen Eurobond’lar.</w:t>
      </w:r>
    </w:p>
    <w:p w14:paraId="2BA64D83" w14:textId="77777777" w:rsidR="004F30D4" w:rsidRPr="00E4115B" w:rsidRDefault="004F30D4" w:rsidP="00A019C7">
      <w:pPr>
        <w:pStyle w:val="Balk3"/>
        <w:ind w:left="0" w:hanging="11"/>
        <w:rPr>
          <w:b w:val="0"/>
        </w:rPr>
      </w:pPr>
      <w:r w:rsidRPr="00E4115B">
        <w:rPr>
          <w:b w:val="0"/>
        </w:rPr>
        <w:t>Teminatların TL karşılıklarının hesaplanması sürecinde; döviz nakit teminatlar ve döviz teminat mektupları için TCMB döviz alış kuru, devlet tahvili ve hazine bonosu için TCMB tarafından Resmî Gazete’de yayınlanan gösterge niteliğindeki fiyatlar, T.C. Hazine ve Maliye Bakanlığınca ihraç edilen Eurobond’lar için merkezi uzlaştırma kuruluşu tarafından belirlenen fiyatlar baz alınır.</w:t>
      </w:r>
    </w:p>
    <w:p w14:paraId="25F85FFA" w14:textId="77777777" w:rsidR="004F30D4" w:rsidRPr="00E4115B" w:rsidRDefault="004F30D4" w:rsidP="00A019C7">
      <w:pPr>
        <w:pStyle w:val="Balk3"/>
        <w:ind w:left="0" w:hanging="11"/>
        <w:rPr>
          <w:b w:val="0"/>
        </w:rPr>
      </w:pPr>
      <w:r w:rsidRPr="00E4115B">
        <w:rPr>
          <w:b w:val="0"/>
        </w:rPr>
        <w:lastRenderedPageBreak/>
        <w:t>Piyasa katılımcıları, sağlamaları gereken teminatları, birinci fıkrada belirtilen teminat olarak kabul edilebilecek kıymetlerden sadece biri ya da birden fazlası ile sağlayabilirler. Verilen teminatlar kısmen veya tamamen, teminat olarak kabul edilen diğ</w:t>
      </w:r>
      <w:r w:rsidR="00412F7C" w:rsidRPr="00E4115B">
        <w:rPr>
          <w:b w:val="0"/>
        </w:rPr>
        <w:t>er kıymetlerle değiştirilebilir.</w:t>
      </w:r>
    </w:p>
    <w:p w14:paraId="4486B4F0" w14:textId="77777777" w:rsidR="004F30D4" w:rsidRPr="00E4115B" w:rsidRDefault="004F30D4" w:rsidP="00A019C7">
      <w:pPr>
        <w:pStyle w:val="Balk3"/>
        <w:ind w:left="0" w:hanging="11"/>
        <w:rPr>
          <w:b w:val="0"/>
        </w:rPr>
      </w:pPr>
      <w:r w:rsidRPr="00E4115B">
        <w:rPr>
          <w:b w:val="0"/>
        </w:rPr>
        <w:t>Piyasa katılımcısı tarafından teminat olarak sunulan kıymetlere ilişkin yasal mercilerce verilen ihtiyati tedbir kararlarının veya ilgili kıymetlerin kesin teminat niteliğini ortadan kaldıran diğer durumların piyasa işletmecisi tarafından öğrenilmesi halinde söz konusu kıymetler ilgili piyasa katılımcısının toplam teminat hesabında dikkate alınmaz.</w:t>
      </w:r>
    </w:p>
    <w:p w14:paraId="7ED84116" w14:textId="77777777" w:rsidR="004F30D4" w:rsidRPr="00E4115B" w:rsidRDefault="004F30D4" w:rsidP="00A019C7">
      <w:pPr>
        <w:pStyle w:val="Balk3"/>
        <w:ind w:left="0" w:hanging="11"/>
        <w:rPr>
          <w:b w:val="0"/>
        </w:rPr>
      </w:pPr>
      <w:r w:rsidRPr="00E4115B">
        <w:rPr>
          <w:b w:val="0"/>
        </w:rPr>
        <w:t>TL ve TL cinsinden teminat mektubu dışında teminat olarak kabul edilen kıymetlere değerleme katsayısı uygulanır. Bu Usul ve Esaslar kapsamında uygulanacak olan değerleme katsayısı; benzer piyasalarda uygulanan değerleme katsayıları dikkate alınarak merkezi uzlaştırma kuruluşunun görüşü doğrultusunda, piyasa işletmecisi tarafından belirlenir ve STP aracılığıyla piyasa katılımcılarına duyurulur.</w:t>
      </w:r>
    </w:p>
    <w:p w14:paraId="4945EA65" w14:textId="3F05BD68" w:rsidR="004F30D4" w:rsidRPr="00E4115B" w:rsidRDefault="004F30D4" w:rsidP="00A019C7">
      <w:pPr>
        <w:pStyle w:val="Balk3"/>
        <w:ind w:left="0" w:hanging="11"/>
        <w:rPr>
          <w:b w:val="0"/>
        </w:rPr>
      </w:pPr>
      <w:r w:rsidRPr="00E4115B">
        <w:rPr>
          <w:b w:val="0"/>
        </w:rPr>
        <w:t>Piyasa katılımcıları tarafından TL cinsinden sunulan nakit teminatlar merkezi uzlaştırma kuruluşu tarafından nemalandırılır. Nemalandırmaya ilişkin usul ve esaslar merkezi uzlaştırma kuruluşunun yasal sorumluluğunda olup söz konusu nemalandırma işlemi merkezi uzlaştırma kuruluşu tarafından gerçekleştirilir. Nema tutarı, fon yönetim komisyonu, banka ve sigorta muameleleri vergisi ve yasal yükümlülükler düşülerek ilgili piyasa katılımcısı hesabına bir sonraki iş günü aktarılır.</w:t>
      </w:r>
    </w:p>
    <w:p w14:paraId="559A0D40" w14:textId="7C6364FB" w:rsidR="004F30D4" w:rsidRPr="007966DB" w:rsidRDefault="004F30D4" w:rsidP="00C63473">
      <w:pPr>
        <w:pStyle w:val="Balk3"/>
        <w:ind w:left="0" w:hanging="11"/>
        <w:rPr>
          <w:b w:val="0"/>
        </w:rPr>
      </w:pPr>
      <w:r w:rsidRPr="00E4115B">
        <w:rPr>
          <w:b w:val="0"/>
        </w:rPr>
        <w:t>Teminatlarla ilgili tüm maliyetler ilgili piyasa katılımcısı tarafından karşılanır.</w:t>
      </w:r>
    </w:p>
    <w:p w14:paraId="11FB46B7" w14:textId="77777777" w:rsidR="00412F7C" w:rsidRPr="00E4115B" w:rsidRDefault="00412F7C" w:rsidP="00A019C7">
      <w:pPr>
        <w:pStyle w:val="Balk2"/>
      </w:pPr>
      <w:bookmarkStart w:id="79" w:name="_Toc64755971"/>
      <w:r w:rsidRPr="00E4115B">
        <w:t>Teminatların İadesi</w:t>
      </w:r>
      <w:bookmarkEnd w:id="79"/>
    </w:p>
    <w:p w14:paraId="6FD4949F" w14:textId="77777777" w:rsidR="00412F7C" w:rsidRPr="00E4115B" w:rsidRDefault="00412F7C" w:rsidP="00A019C7">
      <w:pPr>
        <w:pStyle w:val="Balk3"/>
        <w:ind w:left="0" w:hanging="11"/>
        <w:rPr>
          <w:b w:val="0"/>
        </w:rPr>
      </w:pPr>
      <w:r w:rsidRPr="00E4115B">
        <w:rPr>
          <w:b w:val="0"/>
        </w:rPr>
        <w:t>Piyasa katılımcısının, sunmuş olduğu teminatların toplam tutarının, piyasa katılımcısının sunması gereken toplam teminat tutarından büyük olması durumunda fazla teminat tutarı, söz konusu teminatın kısmen iadeye uygun olması durumunda ve piyasa katılımcısının talebi üzerine merkezi uzlaştırma kuruluşu ve/veya piyasa işletmecisi tarafından piyasa katılımcısına iade edilir.</w:t>
      </w:r>
    </w:p>
    <w:p w14:paraId="4956962A" w14:textId="77777777" w:rsidR="00412F7C" w:rsidRPr="00E4115B" w:rsidRDefault="00412F7C" w:rsidP="00A019C7">
      <w:pPr>
        <w:pStyle w:val="Balk3"/>
        <w:ind w:left="0" w:hanging="11"/>
        <w:rPr>
          <w:b w:val="0"/>
        </w:rPr>
      </w:pPr>
      <w:r w:rsidRPr="00E4115B">
        <w:rPr>
          <w:b w:val="0"/>
        </w:rPr>
        <w:t xml:space="preserve">Piyasa katılımcısı tarafından gerçekleştirilecek olan bloke olmamış tüm teminat çekme işlemleri tam iş günlerinde 09:30 ile 12:00 </w:t>
      </w:r>
      <w:r w:rsidR="00A019C7" w:rsidRPr="00E4115B">
        <w:rPr>
          <w:b w:val="0"/>
        </w:rPr>
        <w:t>arasında gerçekleştirilebilir</w:t>
      </w:r>
      <w:r w:rsidRPr="00E4115B">
        <w:rPr>
          <w:b w:val="0"/>
        </w:rPr>
        <w:t>.</w:t>
      </w:r>
    </w:p>
    <w:p w14:paraId="19CBB395" w14:textId="77777777" w:rsidR="00412F7C" w:rsidRPr="00E4115B" w:rsidRDefault="00412F7C" w:rsidP="00A019C7">
      <w:pPr>
        <w:pStyle w:val="Balk3"/>
        <w:ind w:left="0" w:hanging="11"/>
        <w:rPr>
          <w:b w:val="0"/>
        </w:rPr>
      </w:pPr>
      <w:r w:rsidRPr="00E4115B">
        <w:rPr>
          <w:b w:val="0"/>
        </w:rPr>
        <w:t xml:space="preserve">Piyasa katılımcısının bir teslimat dönemine ilişkin fiziksel dönem teminatı ve net zarar tutarı, fatura son ödeme tarihi gün sonunda toplam VGP teminatı hesabından çıkarılır. </w:t>
      </w:r>
    </w:p>
    <w:p w14:paraId="36B52B4E" w14:textId="77777777" w:rsidR="005A22F3" w:rsidRPr="00E4115B" w:rsidRDefault="00412F7C" w:rsidP="00A019C7">
      <w:pPr>
        <w:pStyle w:val="Balk3"/>
        <w:ind w:left="0" w:hanging="11"/>
        <w:rPr>
          <w:b w:val="0"/>
        </w:rPr>
      </w:pPr>
      <w:r w:rsidRPr="00E4115B">
        <w:rPr>
          <w:b w:val="0"/>
        </w:rPr>
        <w:t>Temerrüde düşen piyasa katılımcısının pozisyonlarının temerrüt yönetimi kapsamında kapatılması neticesinde varsa toplam VGP teminatının kullanılmamış olan kısmındaki bloke, mevcut bir teminat tamamlama çağrısı bulunmaması, teslimat dönemlerine ilişkin düzenlenen faturaların ödenmiş olması ve piyasa işletmecisi tarafından işletilen veya mali uzlaştırma ile diğer mali işlemleri yürütülen piyasalara ilişkin avans ve/veya fatura borcu olmaması koşullarıyla kaldırılır.</w:t>
      </w:r>
    </w:p>
    <w:p w14:paraId="5DC2DFB2" w14:textId="5DE4D9E4" w:rsidR="00412F7C" w:rsidRPr="007966DB" w:rsidRDefault="00412F7C" w:rsidP="00C63473">
      <w:pPr>
        <w:pStyle w:val="Balk3"/>
        <w:ind w:left="0" w:hanging="11"/>
        <w:rPr>
          <w:b w:val="0"/>
        </w:rPr>
      </w:pPr>
      <w:r w:rsidRPr="00E4115B">
        <w:rPr>
          <w:b w:val="0"/>
        </w:rPr>
        <w:t>VGP’ye katılım statüsü sonlanan piyasa katılımcılarının varsa toplam VGP teminatının kullanılmamış olan kısmındaki bloke, mevcut bir teminat tamamlama çağrısı bulunmaması, teslimat dönemlerine ilişkin düzenlenen faturaların ödenmiş olması ve piyasa işletmecisi tarafından işletilen veya mali uzlaştırma ile diğer mali işlemleri yürütülen piyasalara ilişkin teminat bildirimine uymama, avans ve/veya fatura borcu olmaması koşullarıyla kaldırılır.</w:t>
      </w:r>
    </w:p>
    <w:p w14:paraId="180C9A4A" w14:textId="77777777" w:rsidR="00412F7C" w:rsidRPr="00E4115B" w:rsidRDefault="00412F7C" w:rsidP="004A35D9">
      <w:pPr>
        <w:pStyle w:val="Balk1"/>
      </w:pPr>
      <w:bookmarkStart w:id="80" w:name="_Toc64755972"/>
      <w:r w:rsidRPr="00E4115B">
        <w:lastRenderedPageBreak/>
        <w:t>TEMERRÜT</w:t>
      </w:r>
      <w:bookmarkEnd w:id="80"/>
    </w:p>
    <w:p w14:paraId="3687CE91" w14:textId="77777777" w:rsidR="00412F7C" w:rsidRPr="00E4115B" w:rsidRDefault="00412F7C" w:rsidP="00A019C7">
      <w:pPr>
        <w:pStyle w:val="Balk2"/>
      </w:pPr>
      <w:bookmarkStart w:id="81" w:name="_Toc64755973"/>
      <w:bookmarkStart w:id="82" w:name="_Toc64755974"/>
      <w:bookmarkEnd w:id="81"/>
      <w:r w:rsidRPr="00E4115B">
        <w:t>Temerrüt Hali</w:t>
      </w:r>
      <w:bookmarkEnd w:id="82"/>
    </w:p>
    <w:p w14:paraId="130C67AC" w14:textId="77777777" w:rsidR="00412F7C" w:rsidRPr="00E4115B" w:rsidRDefault="00412F7C" w:rsidP="00A019C7">
      <w:pPr>
        <w:pStyle w:val="Balk3"/>
        <w:ind w:left="0" w:hanging="11"/>
        <w:rPr>
          <w:b w:val="0"/>
        </w:rPr>
      </w:pPr>
      <w:r w:rsidRPr="00E4115B">
        <w:rPr>
          <w:b w:val="0"/>
        </w:rPr>
        <w:t>VGP’de piyasa katılımcıları aşağıda belirtilen durumlarda herhangi bir ihtara gerek kalmaksızın temerrüde düşmüş kabul edilir:</w:t>
      </w:r>
    </w:p>
    <w:p w14:paraId="5DF1E08A" w14:textId="77777777" w:rsidR="00412F7C"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t>a. Her iş günü teminat kontrol saatinde yapılan kontrolde ilgili gün için hesaplanan toplam VGP teminat tutarına ilişkin yükümlülüğünü yerine getirmeyen piyasa katılımcılarının temerrüde düştüğü kabul edilir.</w:t>
      </w:r>
    </w:p>
    <w:p w14:paraId="233FEAAC" w14:textId="77777777" w:rsidR="00412F7C"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t>b. Birbirini takip eden üç iş günü boyunca teminat kontrol saatinde yapılan kontrolde, bulundurduğu mevcut TL cinsinden nakit ve/veya toplam temerrüt garanti hesabı katkı payı tutarının, bulundurması gereken TL cinsinden nakit ve/veya toplam katkı payı tutarını karşılamayan piyasa katılımcılarının temerrüde düştüğü kabul edilir.</w:t>
      </w:r>
    </w:p>
    <w:p w14:paraId="661A8879" w14:textId="77777777" w:rsidR="00412F7C"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t>c. VGP faturasına dair ödeme yükümlülüklerini belirlenen sürelerde yerine getirmeyen piyasa katılımcılarının temerrüde düştüğü kabul edilir.</w:t>
      </w:r>
    </w:p>
    <w:p w14:paraId="22F26872" w14:textId="77777777" w:rsidR="00412F7C" w:rsidRPr="00E4115B" w:rsidRDefault="00412F7C" w:rsidP="00A019C7">
      <w:pPr>
        <w:pStyle w:val="Balk3"/>
        <w:ind w:left="0" w:hanging="11"/>
        <w:rPr>
          <w:b w:val="0"/>
        </w:rPr>
      </w:pPr>
      <w:r w:rsidRPr="00E4115B">
        <w:rPr>
          <w:b w:val="0"/>
        </w:rPr>
        <w:t>VGP’de temerrüde düşen piyasa katılımcısının piyasa işletmecisinin işlettiği tüm doğal gaz piyasalarında temerrüde düştüğü kabul edilir. PUE hükümleri doğrultusunda düzenlenen faturalara dair ödemelerin, katılımcının cari hesabında ve/veya teminat hesabında bulunan tutarlar ile karşılanamaması veya teminat yükümlülüklerini yerine getirmediğinden katılımcı statüsünün askıya alınması nedeniyle temerrüt hali devam eden piyasa katılımcıları aynı zamanda VGP’de de temerrüde düşmüş kabul edilir.</w:t>
      </w:r>
    </w:p>
    <w:p w14:paraId="489D92C3" w14:textId="77777777" w:rsidR="00412F7C" w:rsidRPr="00E4115B" w:rsidRDefault="00412F7C" w:rsidP="00A019C7">
      <w:pPr>
        <w:pStyle w:val="Balk3"/>
        <w:ind w:left="0" w:hanging="11"/>
        <w:rPr>
          <w:b w:val="0"/>
        </w:rPr>
      </w:pPr>
      <w:r w:rsidRPr="00E4115B">
        <w:rPr>
          <w:b w:val="0"/>
        </w:rPr>
        <w:t>Bu Usul ve Esaslar ve PUE kapsamında fatura temerrüdüne düşen piyasa katılımcısının piyasa işletmecisi tarafından işletilen organize toptan doğal gaz satış piyasasındaki statüsü askıya alınır. Teminat kontrolü itibari ile varsa piyasa işletmecisi tarafından işletilen organize toptan doğal gaz satış piyasasındaki eşleşmemiş tüm teklifleri silinir ve yeni teklif girmesine izin verilmez. EBT’de dengesizliğini artırıcı yönde TMB ve/veya TMDB yapmaması için iletim şirketine temerrüde konu kontrat büyüklüğü ve kontrat süresi dahil olmak üzere en kısa sürede bildirim yapılır.</w:t>
      </w:r>
    </w:p>
    <w:p w14:paraId="60142944" w14:textId="77777777" w:rsidR="00412F7C" w:rsidRPr="00E4115B" w:rsidRDefault="00412F7C" w:rsidP="00A019C7">
      <w:pPr>
        <w:pStyle w:val="Balk3"/>
        <w:ind w:left="0" w:hanging="11"/>
        <w:rPr>
          <w:b w:val="0"/>
        </w:rPr>
      </w:pPr>
      <w:r w:rsidRPr="00E4115B">
        <w:rPr>
          <w:b w:val="0"/>
        </w:rPr>
        <w:t>Piyasa katılımcısının cari hesabında bulunan TL nakit tutarın, sunması gereken toplam VGP teminat tutarını ve/veya temerrüt garanti hesabı katkı payı eksikliğini karşılayacak seviyede olması durumunda, ilgili tutar piyasa katılımcısının cari hesabında bulunan TL nakit tutardan otomatik olarak karşılanır ve piyasa katılımcısı VGP teminat ve/veya temerrüt garanti hesabı katkı payı temerrüdüne düşmez. Toplam VGP teminat tutarı bildirimi sonrası yatırması talep edilen tutarı yatırmayan bir piyasa katılımcısının, STP’de yapmış olduğu işlemlerden doğan alacaklarının eksik teminat tutarı kadar olan kısmı, teminat hesabına aktarılır. STP’de yapmış olduğu işlemlerden doğan alacaklarının kalan kısmı var ise katılımcıya ödenir.</w:t>
      </w:r>
    </w:p>
    <w:p w14:paraId="007FFB29" w14:textId="77777777" w:rsidR="00412F7C" w:rsidRPr="00E4115B" w:rsidRDefault="00412F7C" w:rsidP="00A019C7">
      <w:pPr>
        <w:pStyle w:val="Balk3"/>
        <w:ind w:left="0" w:hanging="11"/>
        <w:rPr>
          <w:b w:val="0"/>
        </w:rPr>
      </w:pPr>
      <w:r w:rsidRPr="00E4115B">
        <w:rPr>
          <w:b w:val="0"/>
        </w:rPr>
        <w:t>Kendisine toplam VGP teminat çağrısı yapılan bir piyasa katılımcısının yeterli miktarda teminatı sunmaması ve/veya temerrüt durumuna düşen bir piyasa katılımcısının temerrüt borcunu yatırmadan söz konusu teminatını tamamlaması durumunda, katılımcı VGP faaliyetlerine devam edemez.</w:t>
      </w:r>
    </w:p>
    <w:p w14:paraId="48D3051F" w14:textId="5F33DD9C" w:rsidR="00412F7C" w:rsidRDefault="00412F7C" w:rsidP="00C63473">
      <w:pPr>
        <w:jc w:val="both"/>
        <w:rPr>
          <w:rFonts w:ascii="Times New Roman" w:hAnsi="Times New Roman" w:cs="Times New Roman"/>
          <w:sz w:val="24"/>
          <w:szCs w:val="24"/>
        </w:rPr>
      </w:pPr>
    </w:p>
    <w:p w14:paraId="63C9853B" w14:textId="6EEF3C9D" w:rsidR="00164388" w:rsidRDefault="00164388" w:rsidP="00C63473">
      <w:pPr>
        <w:jc w:val="both"/>
        <w:rPr>
          <w:rFonts w:ascii="Times New Roman" w:hAnsi="Times New Roman" w:cs="Times New Roman"/>
          <w:sz w:val="24"/>
          <w:szCs w:val="24"/>
        </w:rPr>
      </w:pPr>
    </w:p>
    <w:p w14:paraId="6AF54872" w14:textId="77777777" w:rsidR="00164388" w:rsidRPr="00E4115B" w:rsidRDefault="00164388" w:rsidP="00C63473">
      <w:pPr>
        <w:jc w:val="both"/>
        <w:rPr>
          <w:rFonts w:ascii="Times New Roman" w:hAnsi="Times New Roman" w:cs="Times New Roman"/>
          <w:sz w:val="24"/>
          <w:szCs w:val="24"/>
        </w:rPr>
      </w:pPr>
    </w:p>
    <w:p w14:paraId="62785D10" w14:textId="77777777" w:rsidR="00412F7C" w:rsidRPr="00E4115B" w:rsidRDefault="00412F7C" w:rsidP="00A019C7">
      <w:pPr>
        <w:pStyle w:val="Balk2"/>
      </w:pPr>
      <w:bookmarkStart w:id="83" w:name="_Toc64755975"/>
      <w:r w:rsidRPr="00E4115B">
        <w:lastRenderedPageBreak/>
        <w:t>Temerrüt Yönetimi</w:t>
      </w:r>
      <w:bookmarkEnd w:id="83"/>
    </w:p>
    <w:p w14:paraId="3E971C35" w14:textId="77777777" w:rsidR="00412F7C" w:rsidRPr="00E4115B" w:rsidRDefault="00412F7C" w:rsidP="006C2D1D">
      <w:pPr>
        <w:pStyle w:val="Balk3"/>
        <w:ind w:left="0" w:hanging="11"/>
        <w:rPr>
          <w:b w:val="0"/>
        </w:rPr>
      </w:pPr>
      <w:r w:rsidRPr="00E4115B">
        <w:rPr>
          <w:b w:val="0"/>
        </w:rPr>
        <w:t>Piyasa işletmecisi, temerrüde düşen piyasa katılımcılarının sahip oldukları teslimat dönemi henüz gelmemiş olan uzun ve/veya kısa pozisyonlarını kapatmak için aşağıdaki yöntemlere başvurur:</w:t>
      </w:r>
    </w:p>
    <w:p w14:paraId="4621FE96" w14:textId="77777777" w:rsidR="00412F7C"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t>a.  Teslimat dönemi henüz gelmemiş olan ve aynı teslimat dönemine sahip uzun ve kısa pozisyon sahibi farklı piyasa katılımcılarının temerrüde düşmesi halinde, piyasa işletmecisi tarafından uzun ve kısa pozisyon miktarları gaz günü bazında ilgili kontrata ilişkin temerrüdün gerçekleştiği an itibarıyla netleştirmenin yapıldığı gün belirlenmiş olan son GGF dikkate alınarak netleştirilir. Netleştirilen pozisyonlar ilgili piyasa katılımcılarının uzlaştırma bildirimlerinde yer alır.</w:t>
      </w:r>
    </w:p>
    <w:p w14:paraId="21309876" w14:textId="77777777" w:rsidR="005A22F3"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t>b.  (a) bendinde belirtilen netleştirme işleminden sonra kalan net pozisyon için piyasa işletmecisi tarafından piyasa katılımcısı adına işlem günlerinde saat 14:30’da teklif defterine standart teklif tipinde alış ya da satış teklifi (mevcut pozisyonun tersi) sunulur. Teklif fiyatı olarak, satış teklifleri için ilgili güne ait fiyat değişim limitine göre sunulabilecek en düşük, alış teklifleri için ise en yüksek fiyat sunulur. Teklifler sunulmadan önce temerrüde düşülen pozisyonlara ilişkin miktarlar, piyasa işletmecisi tarafından STP aracılığıyla duyurulur.</w:t>
      </w:r>
    </w:p>
    <w:p w14:paraId="6055A3C8" w14:textId="77777777" w:rsidR="00412F7C"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t>c.  (b) bendi uyarınca sunulan teklifler seans sonrasında pasife alınır. İlgili teklif, takip eden işlem gününde fiyatının (b) bendindeki usul çerçevesinde güncellenmesini müteakip aktif hale getirilir. Temerrüt eden katılımcının finansal dönemdeki pozisyonu kapanana kadar (b) bendindeki işlem her işlem günü tekrarlanır.</w:t>
      </w:r>
    </w:p>
    <w:p w14:paraId="50792358" w14:textId="77777777" w:rsidR="00412F7C" w:rsidRPr="00E4115B" w:rsidRDefault="00A019C7"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412F7C" w:rsidRPr="00E4115B">
        <w:rPr>
          <w:rFonts w:ascii="Times New Roman" w:hAnsi="Times New Roman" w:cs="Times New Roman"/>
          <w:sz w:val="24"/>
          <w:szCs w:val="24"/>
        </w:rPr>
        <w:t xml:space="preserve">. Temerrüt eden katılımcının bulundurması gereken teminat tutarı, kalan pozisyonları, oluşan zararları ve temerrüt durumuna göre belirlenen risk katsayısı dikkate alınarak her gün gün sonu işlemleri kapsamında hesaplanır. </w:t>
      </w:r>
    </w:p>
    <w:p w14:paraId="524DD231" w14:textId="1DE32070" w:rsidR="00412F7C" w:rsidRPr="00E4115B" w:rsidRDefault="00A019C7"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044390">
        <w:rPr>
          <w:rFonts w:ascii="Times New Roman" w:hAnsi="Times New Roman" w:cs="Times New Roman"/>
          <w:sz w:val="24"/>
          <w:szCs w:val="24"/>
        </w:rPr>
        <w:t>. Temerrüt eden katılımcının (ç</w:t>
      </w:r>
      <w:r w:rsidR="00412F7C" w:rsidRPr="00E4115B">
        <w:rPr>
          <w:rFonts w:ascii="Times New Roman" w:hAnsi="Times New Roman" w:cs="Times New Roman"/>
          <w:sz w:val="24"/>
          <w:szCs w:val="24"/>
        </w:rPr>
        <w:t>) bendi kapsamında kendisine yapılan teminat tamamlama çağrısında belirtilen teminat tutarlarını sunması halinde (b) bendi kapsamında piyasa işletmecisi tarafından katılımcı adına teklif sunma işlemi sonlanır. Katılımcı kalan pozisyonlarıyla piyasadaki faaliyetlerine devam eder.</w:t>
      </w:r>
    </w:p>
    <w:p w14:paraId="317AB909" w14:textId="77777777" w:rsidR="00412F7C" w:rsidRPr="00E4115B" w:rsidRDefault="00412F7C" w:rsidP="006C2D1D">
      <w:pPr>
        <w:pStyle w:val="Balk3"/>
        <w:ind w:left="0" w:hanging="11"/>
        <w:rPr>
          <w:b w:val="0"/>
        </w:rPr>
      </w:pPr>
      <w:r w:rsidRPr="00E4115B">
        <w:rPr>
          <w:b w:val="0"/>
        </w:rPr>
        <w:t xml:space="preserve">Temerrüde düşen piyasa katılımcılarının sahip oldukları teslimat dönemi başlamış veya bir gün sonra başlayacak olan uzun veya kısa pozisyonlar iletim şirketine devredilir. İletim şirketi tarafından, PUE ve ŞİD hükümleri çerçevesinde ilgili pozisyonlara denk gelen miktarlarda işlem yapılarak pozisyon kapatılır. </w:t>
      </w:r>
    </w:p>
    <w:p w14:paraId="4C1966AF" w14:textId="77777777" w:rsidR="00412F7C" w:rsidRPr="00E4115B" w:rsidRDefault="00412F7C" w:rsidP="006C2D1D">
      <w:pPr>
        <w:pStyle w:val="Balk3"/>
        <w:ind w:left="0" w:hanging="11"/>
        <w:rPr>
          <w:b w:val="0"/>
        </w:rPr>
      </w:pPr>
      <w:r w:rsidRPr="00E4115B">
        <w:rPr>
          <w:b w:val="0"/>
        </w:rPr>
        <w:t>Temerrüt eden katılımcının 13.2.1 ve 13.2.2 maddesi kapsamında yönetilen pozisyonları nedeniyle oluşan borç ve alacak tutarları, ilgili piyasa katılımcısının teminat hesaplamalarına ve pozisyonlarının ilgili oldukları fiziksel dönem faturalarına yansıtılır. Teminat ve fatura hesaplamalarına yansıtılacak tutarlar;</w:t>
      </w:r>
    </w:p>
    <w:p w14:paraId="05852E4E" w14:textId="77777777" w:rsidR="00412F7C"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a.  13.2.1 maddesinin (b) bendi uyarınca sunulan tekliflerin eşleşmesi halinde, eşleşme fiyatları, </w:t>
      </w:r>
    </w:p>
    <w:p w14:paraId="614E1AEF" w14:textId="77777777" w:rsidR="00412F7C" w:rsidRPr="00E4115B" w:rsidRDefault="006C2D1D"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w:t>
      </w:r>
      <w:r w:rsidR="00412F7C" w:rsidRPr="00E4115B">
        <w:rPr>
          <w:rFonts w:ascii="Times New Roman" w:hAnsi="Times New Roman" w:cs="Times New Roman"/>
          <w:sz w:val="24"/>
          <w:szCs w:val="24"/>
        </w:rPr>
        <w:t>13.2.2 maddesi uyarınca fiziksel dönemde ilgili piyasa katılımcısının temerrüt ettiği miktarların fiyatları için iletim şirketi tarafından PUE ve ŞİD hükümleri çerçevesinde yaptığı işlemlerdeki fiyatlar</w:t>
      </w:r>
    </w:p>
    <w:p w14:paraId="0C6C304C" w14:textId="77777777" w:rsidR="00412F7C"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t>dikkate alınarak hesaplanır.</w:t>
      </w:r>
    </w:p>
    <w:p w14:paraId="2D85958C" w14:textId="77777777" w:rsidR="00412F7C" w:rsidRPr="00E4115B" w:rsidRDefault="00412F7C" w:rsidP="00164388">
      <w:pPr>
        <w:pStyle w:val="Balk3"/>
        <w:spacing w:after="160"/>
        <w:ind w:left="0" w:hanging="11"/>
        <w:rPr>
          <w:b w:val="0"/>
        </w:rPr>
      </w:pPr>
      <w:r w:rsidRPr="00E4115B">
        <w:rPr>
          <w:b w:val="0"/>
        </w:rPr>
        <w:lastRenderedPageBreak/>
        <w:t>Vadeli doğal gaz piyasası teminat temerrüdüne ve/veya temerrüt garanti hesabı katkı payı temerrüdüne düşen piyasa katılımcılarının fatura dönemi geldiğinde kullanmak üzere sahip oldukları teslimat dönemi henüz gelmemiş olan ve/veya teslimat dönemi başlamış olan uzun ve/veya kısa pozisyonları kapatılırken gerekmesi halinde sırasıyla;</w:t>
      </w:r>
    </w:p>
    <w:p w14:paraId="78C6EFB3" w14:textId="77777777" w:rsidR="00412F7C" w:rsidRPr="00E4115B" w:rsidRDefault="00412F7C" w:rsidP="00164388">
      <w:pPr>
        <w:spacing w:line="240" w:lineRule="auto"/>
        <w:jc w:val="both"/>
        <w:rPr>
          <w:rFonts w:ascii="Times New Roman" w:hAnsi="Times New Roman" w:cs="Times New Roman"/>
          <w:sz w:val="24"/>
          <w:szCs w:val="24"/>
        </w:rPr>
      </w:pPr>
      <w:r w:rsidRPr="00E4115B">
        <w:rPr>
          <w:rFonts w:ascii="Times New Roman" w:hAnsi="Times New Roman" w:cs="Times New Roman"/>
          <w:sz w:val="24"/>
          <w:szCs w:val="24"/>
        </w:rPr>
        <w:t xml:space="preserve">a.   Cari hesabında bulunan tutara, </w:t>
      </w:r>
    </w:p>
    <w:p w14:paraId="02E6B00D" w14:textId="77777777" w:rsidR="00412F7C" w:rsidRPr="00E4115B" w:rsidRDefault="00412F7C" w:rsidP="00164388">
      <w:pPr>
        <w:spacing w:line="240" w:lineRule="auto"/>
        <w:jc w:val="both"/>
        <w:rPr>
          <w:rFonts w:ascii="Times New Roman" w:hAnsi="Times New Roman" w:cs="Times New Roman"/>
          <w:sz w:val="24"/>
          <w:szCs w:val="24"/>
        </w:rPr>
      </w:pPr>
      <w:r w:rsidRPr="00E4115B">
        <w:rPr>
          <w:rFonts w:ascii="Times New Roman" w:hAnsi="Times New Roman" w:cs="Times New Roman"/>
          <w:sz w:val="24"/>
          <w:szCs w:val="24"/>
        </w:rPr>
        <w:t>b.  Bu Usul ve Esaslar ve PUE kapsamında sunması gereken toplam teminat tutarının veya temerrüt garanti hesabı katkı payı tutarının üzerinde olan TL cinsinden nakit tutara,</w:t>
      </w:r>
    </w:p>
    <w:p w14:paraId="66FC8650" w14:textId="77777777" w:rsidR="00412F7C" w:rsidRPr="00E4115B" w:rsidRDefault="00412F7C" w:rsidP="00164388">
      <w:pPr>
        <w:spacing w:line="240" w:lineRule="auto"/>
        <w:jc w:val="both"/>
        <w:rPr>
          <w:rFonts w:ascii="Times New Roman" w:hAnsi="Times New Roman" w:cs="Times New Roman"/>
          <w:sz w:val="24"/>
          <w:szCs w:val="24"/>
        </w:rPr>
      </w:pPr>
      <w:r w:rsidRPr="00E4115B">
        <w:rPr>
          <w:rFonts w:ascii="Times New Roman" w:hAnsi="Times New Roman" w:cs="Times New Roman"/>
          <w:sz w:val="24"/>
          <w:szCs w:val="24"/>
        </w:rPr>
        <w:t>c.  Toplam vadeli doğal gaz piyasası teminatına,</w:t>
      </w:r>
    </w:p>
    <w:p w14:paraId="00B98F9F" w14:textId="77777777" w:rsidR="00412F7C" w:rsidRPr="00E4115B" w:rsidRDefault="006C2D1D" w:rsidP="00164388">
      <w:pPr>
        <w:spacing w:line="240" w:lineRule="auto"/>
        <w:jc w:val="both"/>
        <w:rPr>
          <w:rFonts w:ascii="Times New Roman" w:hAnsi="Times New Roman" w:cs="Times New Roman"/>
          <w:sz w:val="24"/>
          <w:szCs w:val="24"/>
        </w:rPr>
      </w:pPr>
      <w:r w:rsidRPr="00E4115B">
        <w:rPr>
          <w:rFonts w:ascii="Times New Roman" w:hAnsi="Times New Roman" w:cs="Times New Roman"/>
          <w:sz w:val="24"/>
          <w:szCs w:val="24"/>
        </w:rPr>
        <w:t>ç</w:t>
      </w:r>
      <w:r w:rsidR="00412F7C" w:rsidRPr="00E4115B">
        <w:rPr>
          <w:rFonts w:ascii="Times New Roman" w:hAnsi="Times New Roman" w:cs="Times New Roman"/>
          <w:sz w:val="24"/>
          <w:szCs w:val="24"/>
        </w:rPr>
        <w:t xml:space="preserve">.  Temerrüde düşen piyasa katılımcısının temerrüt garanti hesabı katkı payına, </w:t>
      </w:r>
    </w:p>
    <w:p w14:paraId="69C78819" w14:textId="77777777" w:rsidR="00412F7C" w:rsidRPr="00E4115B" w:rsidRDefault="006C2D1D" w:rsidP="00164388">
      <w:pPr>
        <w:spacing w:line="240" w:lineRule="auto"/>
        <w:jc w:val="both"/>
        <w:rPr>
          <w:rFonts w:ascii="Times New Roman" w:hAnsi="Times New Roman" w:cs="Times New Roman"/>
          <w:sz w:val="24"/>
          <w:szCs w:val="24"/>
        </w:rPr>
      </w:pPr>
      <w:r w:rsidRPr="00E4115B">
        <w:rPr>
          <w:rFonts w:ascii="Times New Roman" w:hAnsi="Times New Roman" w:cs="Times New Roman"/>
          <w:sz w:val="24"/>
          <w:szCs w:val="24"/>
        </w:rPr>
        <w:t>d</w:t>
      </w:r>
      <w:r w:rsidR="00412F7C" w:rsidRPr="00E4115B">
        <w:rPr>
          <w:rFonts w:ascii="Times New Roman" w:hAnsi="Times New Roman" w:cs="Times New Roman"/>
          <w:sz w:val="24"/>
          <w:szCs w:val="24"/>
        </w:rPr>
        <w:t xml:space="preserve">.   Piyasa işletmecisi temerrüt yönetimi katkısına, </w:t>
      </w:r>
    </w:p>
    <w:p w14:paraId="26BD0FE9" w14:textId="77777777" w:rsidR="00412F7C" w:rsidRPr="00E4115B" w:rsidRDefault="006C2D1D" w:rsidP="00164388">
      <w:pPr>
        <w:spacing w:line="240" w:lineRule="auto"/>
        <w:jc w:val="both"/>
        <w:rPr>
          <w:rFonts w:ascii="Times New Roman" w:hAnsi="Times New Roman" w:cs="Times New Roman"/>
          <w:sz w:val="24"/>
          <w:szCs w:val="24"/>
        </w:rPr>
      </w:pPr>
      <w:r w:rsidRPr="00E4115B">
        <w:rPr>
          <w:rFonts w:ascii="Times New Roman" w:hAnsi="Times New Roman" w:cs="Times New Roman"/>
          <w:sz w:val="24"/>
          <w:szCs w:val="24"/>
        </w:rPr>
        <w:t>e</w:t>
      </w:r>
      <w:r w:rsidR="00412F7C" w:rsidRPr="00E4115B">
        <w:rPr>
          <w:rFonts w:ascii="Times New Roman" w:hAnsi="Times New Roman" w:cs="Times New Roman"/>
          <w:sz w:val="24"/>
          <w:szCs w:val="24"/>
        </w:rPr>
        <w:t>.  Diğer piyasa katılımcılarının temerrüt garanti hesabı katkı paylarına,</w:t>
      </w:r>
    </w:p>
    <w:p w14:paraId="3E182101" w14:textId="77777777" w:rsidR="00412F7C" w:rsidRPr="00E4115B" w:rsidRDefault="006C2D1D" w:rsidP="00164388">
      <w:pPr>
        <w:spacing w:line="240" w:lineRule="auto"/>
        <w:jc w:val="both"/>
        <w:rPr>
          <w:rFonts w:ascii="Times New Roman" w:hAnsi="Times New Roman" w:cs="Times New Roman"/>
          <w:sz w:val="24"/>
          <w:szCs w:val="24"/>
        </w:rPr>
      </w:pPr>
      <w:r w:rsidRPr="00E4115B">
        <w:rPr>
          <w:rFonts w:ascii="Times New Roman" w:hAnsi="Times New Roman" w:cs="Times New Roman"/>
          <w:sz w:val="24"/>
          <w:szCs w:val="24"/>
        </w:rPr>
        <w:t>f</w:t>
      </w:r>
      <w:r w:rsidR="00412F7C" w:rsidRPr="00E4115B">
        <w:rPr>
          <w:rFonts w:ascii="Times New Roman" w:hAnsi="Times New Roman" w:cs="Times New Roman"/>
          <w:sz w:val="24"/>
          <w:szCs w:val="24"/>
        </w:rPr>
        <w:t>. Temerrüt garanti hesabı tamamlama çağrısı ile tekrar toplanan katkı paylarına</w:t>
      </w:r>
    </w:p>
    <w:p w14:paraId="3EB70884" w14:textId="77777777" w:rsidR="00412F7C" w:rsidRPr="00E4115B" w:rsidRDefault="00412F7C" w:rsidP="00C63473">
      <w:pPr>
        <w:jc w:val="both"/>
        <w:rPr>
          <w:rFonts w:ascii="Times New Roman" w:hAnsi="Times New Roman" w:cs="Times New Roman"/>
          <w:sz w:val="24"/>
          <w:szCs w:val="24"/>
        </w:rPr>
      </w:pPr>
      <w:r w:rsidRPr="00E4115B">
        <w:rPr>
          <w:rFonts w:ascii="Times New Roman" w:hAnsi="Times New Roman" w:cs="Times New Roman"/>
          <w:sz w:val="24"/>
          <w:szCs w:val="24"/>
        </w:rPr>
        <w:t>başvurulur.</w:t>
      </w:r>
    </w:p>
    <w:p w14:paraId="25C53432" w14:textId="71E86244" w:rsidR="00412F7C" w:rsidRPr="00164388" w:rsidRDefault="00412F7C" w:rsidP="00C63473">
      <w:pPr>
        <w:pStyle w:val="Balk3"/>
        <w:ind w:left="0" w:hanging="11"/>
        <w:rPr>
          <w:b w:val="0"/>
        </w:rPr>
      </w:pPr>
      <w:r w:rsidRPr="00E4115B">
        <w:rPr>
          <w:b w:val="0"/>
        </w:rPr>
        <w:t xml:space="preserve">Piyasa işletmecisi tarafından, temerrüde düşen piyasa katılımcısının temerrüt yönetimi kapsamında pozisyonları kapatılırken, diğer piyasa katılımcılarının temerrüt garanti hesabı katkı paylarına başvurulması halinde, söz konusu tutarlar temerrüde düşmeyen ilgili piyasa katılımcılarının uzlaştırma bildirimlerine dahil edilir. Temerrüde düşen piyasa katılımcısının ödemekle yükümlü olduğu tutarı süresinde ödememesi halinde ilgili tutarlar için temerrüt faizi uygulanır. Temerrüt faizi oranı, </w:t>
      </w:r>
      <w:r w:rsidR="003A6B2B" w:rsidRPr="00681BF6">
        <w:rPr>
          <w:b w:val="0"/>
        </w:rPr>
        <w:t>21/7/1953 tarihli ve 6183 sayılı</w:t>
      </w:r>
      <w:r w:rsidR="003A6B2B" w:rsidRPr="003A6B2B">
        <w:rPr>
          <w:b w:val="0"/>
        </w:rPr>
        <w:t xml:space="preserve"> </w:t>
      </w:r>
      <w:r w:rsidRPr="00E4115B">
        <w:rPr>
          <w:b w:val="0"/>
        </w:rPr>
        <w:t>Amme Alacaklarının Tahsil Usulü Hakkında Kanunun 51 inci maddesine göre belirlenen faiz oranıdır.  Söz konusu tutarın tahsil edilmesi halinde tahsil edilen tutarlar öncelikle, piyasa katılımcılarına temerrüt garanti hesabı katkı paylarına başvurulduğu oranda ve varsa kalan tutar piyasa işletmecisi temerrüt yönetimi katkısı tutarına yansıtılır.</w:t>
      </w:r>
    </w:p>
    <w:p w14:paraId="19701C3C" w14:textId="77777777" w:rsidR="00101861" w:rsidRPr="00E4115B" w:rsidRDefault="00101861" w:rsidP="004A35D9">
      <w:pPr>
        <w:pStyle w:val="Balk1"/>
      </w:pPr>
      <w:bookmarkStart w:id="84" w:name="_Toc64755976"/>
      <w:r w:rsidRPr="00E4115B">
        <w:t>UZLAŞTIRMA</w:t>
      </w:r>
      <w:bookmarkEnd w:id="84"/>
    </w:p>
    <w:p w14:paraId="7CF7FADE" w14:textId="77777777" w:rsidR="00101861" w:rsidRPr="00E4115B" w:rsidRDefault="00101861" w:rsidP="006C2D1D">
      <w:pPr>
        <w:pStyle w:val="Balk2"/>
      </w:pPr>
      <w:bookmarkStart w:id="85" w:name="_Toc64755977"/>
      <w:bookmarkStart w:id="86" w:name="_Toc64755978"/>
      <w:bookmarkEnd w:id="85"/>
      <w:r w:rsidRPr="00E4115B">
        <w:t>Uzlaştırma Hesaplamaları</w:t>
      </w:r>
      <w:bookmarkEnd w:id="86"/>
    </w:p>
    <w:p w14:paraId="50600504" w14:textId="77777777" w:rsidR="00101861" w:rsidRPr="00E4115B" w:rsidRDefault="00101861" w:rsidP="006C2D1D">
      <w:pPr>
        <w:pStyle w:val="Balk3"/>
        <w:ind w:left="0" w:hanging="11"/>
        <w:rPr>
          <w:b w:val="0"/>
        </w:rPr>
      </w:pPr>
      <w:r w:rsidRPr="00E4115B">
        <w:t xml:space="preserve"> </w:t>
      </w:r>
      <w:r w:rsidRPr="00E4115B">
        <w:rPr>
          <w:b w:val="0"/>
        </w:rPr>
        <w:t>VGP eşleşmelerine ilişkin uzlaştırma hesaplamaları aşağıdaki formüllere göre yapılır;</w:t>
      </w:r>
    </w:p>
    <w:p w14:paraId="0EAD59BA" w14:textId="77777777" w:rsidR="00101861" w:rsidRPr="00E4115B" w:rsidRDefault="00F92C1E" w:rsidP="00C63473">
      <w:pPr>
        <w:jc w:val="both"/>
        <w:rPr>
          <w:rFonts w:ascii="Times New Roman" w:eastAsiaTheme="minorEastAsia" w:hAnsi="Times New Roman" w:cs="Times New Roman"/>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VGPST</m:t>
              </m:r>
            </m:e>
            <m:sub>
              <m:r>
                <m:rPr>
                  <m:sty m:val="p"/>
                </m:rPr>
                <w:rPr>
                  <w:rFonts w:ascii="Cambria Math" w:hAnsi="Cambria Math" w:cs="Times New Roman"/>
                  <w:sz w:val="24"/>
                  <w:szCs w:val="24"/>
                </w:rPr>
                <m:t>p, k</m:t>
              </m:r>
            </m:sub>
          </m:sSub>
          <m:r>
            <m:rPr>
              <m:sty m:val="p"/>
            </m:rPr>
            <w:rPr>
              <w:rFonts w:ascii="Cambria Math" w:hAnsi="Cambria Math" w:cs="Times New Roman"/>
              <w:sz w:val="24"/>
              <w:szCs w:val="24"/>
            </w:rPr>
            <m:t>=</m:t>
          </m:r>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m</m:t>
              </m:r>
            </m:sup>
            <m:e>
              <m:d>
                <m:dPr>
                  <m:ctrlPr>
                    <w:rPr>
                      <w:rFonts w:ascii="Cambria Math" w:hAnsi="Cambria Math" w:cs="Times New Roman"/>
                      <w:iCs/>
                      <w:sz w:val="24"/>
                      <w:szCs w:val="24"/>
                    </w:rPr>
                  </m:ctrlPr>
                </m:dPr>
                <m:e>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EF</m:t>
                          </m:r>
                        </m:e>
                        <m:sub>
                          <m:r>
                            <m:rPr>
                              <m:sty m:val="p"/>
                            </m:rPr>
                            <w:rPr>
                              <w:rFonts w:ascii="Cambria Math" w:hAnsi="Cambria Math" w:cs="Times New Roman"/>
                              <w:sz w:val="24"/>
                              <w:szCs w:val="24"/>
                            </w:rPr>
                            <m:t>p, i, j, k</m:t>
                          </m:r>
                        </m:sub>
                      </m:sSub>
                    </m:e>
                  </m:nary>
                  <m:r>
                    <m:rPr>
                      <m:sty m:val="p"/>
                    </m:rP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sty m:val="p"/>
                        </m:rPr>
                        <w:rPr>
                          <w:rFonts w:ascii="Cambria Math" w:hAnsi="Cambria Math" w:cs="Times New Roman"/>
                          <w:sz w:val="24"/>
                          <w:szCs w:val="24"/>
                        </w:rPr>
                        <m:t>VGPSM</m:t>
                      </m:r>
                    </m:e>
                    <m:sub>
                      <m:r>
                        <m:rPr>
                          <m:sty m:val="p"/>
                        </m:rPr>
                        <w:rPr>
                          <w:rFonts w:ascii="Cambria Math" w:hAnsi="Cambria Math" w:cs="Times New Roman"/>
                          <w:sz w:val="24"/>
                          <w:szCs w:val="24"/>
                        </w:rPr>
                        <m:t>p, i, j, k</m:t>
                      </m:r>
                    </m:sub>
                  </m:sSub>
                </m:e>
              </m:d>
            </m:e>
          </m:nary>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8a</m:t>
              </m:r>
            </m:e>
          </m:d>
        </m:oMath>
      </m:oMathPara>
    </w:p>
    <w:p w14:paraId="2B57DDEF" w14:textId="77777777" w:rsidR="00101861" w:rsidRPr="00E4115B" w:rsidRDefault="00101861" w:rsidP="00C63473">
      <w:pPr>
        <w:jc w:val="both"/>
        <w:rPr>
          <w:rFonts w:ascii="Times New Roman" w:eastAsiaTheme="minorEastAsia" w:hAnsi="Times New Roman" w:cs="Times New Roman"/>
          <w:sz w:val="24"/>
          <w:szCs w:val="24"/>
        </w:rPr>
      </w:pPr>
    </w:p>
    <w:p w14:paraId="64E9D77D" w14:textId="77777777" w:rsidR="00101861" w:rsidRPr="00E4115B" w:rsidRDefault="00F92C1E" w:rsidP="00C63473">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VGPAT</m:t>
              </m:r>
            </m:e>
            <m:sub>
              <m:r>
                <m:rPr>
                  <m:sty m:val="p"/>
                </m:rPr>
                <w:rPr>
                  <w:rFonts w:ascii="Cambria Math" w:eastAsiaTheme="minorEastAsia" w:hAnsi="Cambria Math" w:cs="Times New Roman"/>
                  <w:sz w:val="24"/>
                  <w:szCs w:val="24"/>
                </w:rPr>
                <m:t>p, u</m:t>
              </m:r>
            </m:sub>
          </m:sSub>
          <m:r>
            <m:rPr>
              <m:sty m:val="p"/>
            </m:rP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Cs/>
                  <w:sz w:val="24"/>
                  <w:szCs w:val="24"/>
                </w:rPr>
              </m:ctrlPr>
            </m:naryPr>
            <m:sub>
              <m:r>
                <m:rPr>
                  <m:sty m:val="p"/>
                </m:rPr>
                <w:rPr>
                  <w:rFonts w:ascii="Cambria Math" w:eastAsiaTheme="minorEastAsia" w:hAnsi="Cambria Math" w:cs="Times New Roman"/>
                  <w:sz w:val="24"/>
                  <w:szCs w:val="24"/>
                </w:rPr>
                <m:t>i=1</m:t>
              </m:r>
            </m:sub>
            <m:sup>
              <m:r>
                <m:rPr>
                  <m:sty m:val="p"/>
                </m:rPr>
                <w:rPr>
                  <w:rFonts w:ascii="Cambria Math" w:eastAsiaTheme="minorEastAsia" w:hAnsi="Cambria Math" w:cs="Times New Roman"/>
                  <w:sz w:val="24"/>
                  <w:szCs w:val="24"/>
                </w:rPr>
                <m:t>e</m:t>
              </m:r>
            </m:sup>
            <m:e>
              <m:d>
                <m:dPr>
                  <m:ctrlPr>
                    <w:rPr>
                      <w:rFonts w:ascii="Cambria Math" w:eastAsiaTheme="minorEastAsia" w:hAnsi="Cambria Math" w:cs="Times New Roman"/>
                      <w:iCs/>
                      <w:sz w:val="24"/>
                      <w:szCs w:val="24"/>
                    </w:rPr>
                  </m:ctrlPr>
                </m:dPr>
                <m:e>
                  <m:nary>
                    <m:naryPr>
                      <m:chr m:val="∑"/>
                      <m:limLoc m:val="undOvr"/>
                      <m:ctrlPr>
                        <w:rPr>
                          <w:rFonts w:ascii="Cambria Math" w:eastAsiaTheme="minorEastAsia" w:hAnsi="Cambria Math" w:cs="Times New Roman"/>
                          <w:iCs/>
                          <w:sz w:val="24"/>
                          <w:szCs w:val="24"/>
                        </w:rPr>
                      </m:ctrlPr>
                    </m:naryPr>
                    <m:sub>
                      <m:r>
                        <m:rPr>
                          <m:sty m:val="p"/>
                        </m:rPr>
                        <w:rPr>
                          <w:rFonts w:ascii="Cambria Math" w:eastAsiaTheme="minorEastAsia" w:hAnsi="Cambria Math" w:cs="Times New Roman"/>
                          <w:sz w:val="24"/>
                          <w:szCs w:val="24"/>
                        </w:rPr>
                        <m:t>j=1</m:t>
                      </m:r>
                    </m:sub>
                    <m:sup>
                      <m:r>
                        <m:rPr>
                          <m:sty m:val="p"/>
                        </m:rPr>
                        <w:rPr>
                          <w:rFonts w:ascii="Cambria Math" w:eastAsiaTheme="minorEastAsia" w:hAnsi="Cambria Math" w:cs="Times New Roman"/>
                          <w:sz w:val="24"/>
                          <w:szCs w:val="24"/>
                        </w:rPr>
                        <m:t>s</m:t>
                      </m:r>
                    </m:sup>
                    <m:e>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EF</m:t>
                          </m:r>
                        </m:e>
                        <m:sub>
                          <m:r>
                            <m:rPr>
                              <m:sty m:val="p"/>
                            </m:rPr>
                            <w:rPr>
                              <w:rFonts w:ascii="Cambria Math" w:eastAsiaTheme="minorEastAsia" w:hAnsi="Cambria Math" w:cs="Times New Roman"/>
                              <w:sz w:val="24"/>
                              <w:szCs w:val="24"/>
                            </w:rPr>
                            <m:t>p, i, j, u</m:t>
                          </m:r>
                        </m:sub>
                      </m:sSub>
                    </m:e>
                  </m:nary>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VGPAM</m:t>
                      </m:r>
                    </m:e>
                    <m:sub>
                      <m:r>
                        <m:rPr>
                          <m:sty m:val="p"/>
                        </m:rPr>
                        <w:rPr>
                          <w:rFonts w:ascii="Cambria Math" w:eastAsiaTheme="minorEastAsia" w:hAnsi="Cambria Math" w:cs="Times New Roman"/>
                          <w:sz w:val="24"/>
                          <w:szCs w:val="24"/>
                        </w:rPr>
                        <m:t>p, i, j, u</m:t>
                      </m:r>
                    </m:sub>
                  </m:sSub>
                </m:e>
              </m:d>
            </m:e>
          </m:nary>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8b</m:t>
              </m:r>
            </m:e>
          </m:d>
        </m:oMath>
      </m:oMathPara>
    </w:p>
    <w:p w14:paraId="79FCC30E" w14:textId="77777777" w:rsidR="00101861" w:rsidRPr="00E4115B" w:rsidRDefault="00101861" w:rsidP="00C63473">
      <w:pPr>
        <w:jc w:val="both"/>
        <w:rPr>
          <w:rFonts w:ascii="Times New Roman" w:eastAsiaTheme="minorEastAsia" w:hAnsi="Times New Roman" w:cs="Times New Roman"/>
          <w:iCs/>
          <w:sz w:val="24"/>
          <w:szCs w:val="24"/>
        </w:rPr>
      </w:pPr>
    </w:p>
    <w:p w14:paraId="70D3D875" w14:textId="508BD7B9" w:rsidR="00101861" w:rsidRPr="00E4115B" w:rsidRDefault="00F92C1E" w:rsidP="00C63473">
      <w:pPr>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VGPSM</m:t>
              </m:r>
            </m:e>
            <m:sub>
              <m:r>
                <m:rPr>
                  <m:sty m:val="p"/>
                </m:rPr>
                <w:rPr>
                  <w:rFonts w:ascii="Cambria Math" w:hAnsi="Cambria Math" w:cs="Times New Roman"/>
                  <w:sz w:val="24"/>
                  <w:szCs w:val="24"/>
                </w:rPr>
                <m:t>p, i, j, k</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i, j, k</m:t>
              </m:r>
            </m:sub>
          </m:sSub>
          <m:r>
            <m:rPr>
              <m:sty m:val="p"/>
            </m:rPr>
            <w:rPr>
              <w:rFonts w:ascii="Cambria Math" w:hAnsi="Cambria Math" w:cs="Times New Roman"/>
              <w:sz w:val="24"/>
              <w:szCs w:val="24"/>
            </w:rPr>
            <m:t xml:space="preserve">       (8c)</m:t>
          </m:r>
        </m:oMath>
      </m:oMathPara>
    </w:p>
    <w:p w14:paraId="0A2401C2" w14:textId="77777777" w:rsidR="00101861" w:rsidRPr="00E4115B" w:rsidRDefault="00101861" w:rsidP="00C63473">
      <w:pPr>
        <w:jc w:val="both"/>
        <w:rPr>
          <w:rFonts w:ascii="Times New Roman" w:eastAsiaTheme="minorEastAsia" w:hAnsi="Times New Roman" w:cs="Times New Roman"/>
          <w:sz w:val="24"/>
          <w:szCs w:val="24"/>
        </w:rPr>
      </w:pPr>
    </w:p>
    <w:p w14:paraId="78866653" w14:textId="0F345096" w:rsidR="00101861" w:rsidRPr="00E4115B" w:rsidRDefault="00F92C1E" w:rsidP="00C63473">
      <w:pPr>
        <w:jc w:val="both"/>
        <w:rPr>
          <w:rFonts w:ascii="Times New Roman" w:eastAsiaTheme="minorEastAsia" w:hAnsi="Times New Roman" w:cs="Times New Roman"/>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VGPAM</m:t>
              </m:r>
            </m:e>
            <m:sub>
              <m:r>
                <m:rPr>
                  <m:sty m:val="p"/>
                </m:rPr>
                <w:rPr>
                  <w:rFonts w:ascii="Cambria Math" w:hAnsi="Cambria Math" w:cs="Times New Roman"/>
                  <w:sz w:val="24"/>
                  <w:szCs w:val="24"/>
                </w:rPr>
                <m:t>p, i, j, u</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i, j, u</m:t>
              </m:r>
            </m:sub>
          </m:sSub>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8ç</m:t>
              </m:r>
            </m:e>
          </m:d>
        </m:oMath>
      </m:oMathPara>
    </w:p>
    <w:p w14:paraId="571073DD"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lastRenderedPageBreak/>
        <w:t>Yukarıda yer alan formüllerde geçen;</w:t>
      </w:r>
    </w:p>
    <w:p w14:paraId="2D39CCEA"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VGPST</w:t>
      </w:r>
      <w:r w:rsidRPr="00E4115B">
        <w:rPr>
          <w:rFonts w:ascii="Times New Roman" w:eastAsiaTheme="minorEastAsia" w:hAnsi="Times New Roman" w:cs="Times New Roman"/>
          <w:sz w:val="24"/>
          <w:szCs w:val="24"/>
          <w:vertAlign w:val="subscript"/>
        </w:rPr>
        <w:t>p,k</w:t>
      </w:r>
      <w:r w:rsidRPr="00E4115B">
        <w:rPr>
          <w:rFonts w:ascii="Times New Roman" w:eastAsiaTheme="minorEastAsia" w:hAnsi="Times New Roman" w:cs="Times New Roman"/>
          <w:sz w:val="24"/>
          <w:szCs w:val="24"/>
        </w:rPr>
        <w:t xml:space="preserve">  :</w:t>
      </w:r>
      <w:r w:rsidRPr="00E4115B">
        <w:rPr>
          <w:rFonts w:ascii="Times New Roman" w:eastAsiaTheme="minorEastAsia" w:hAnsi="Times New Roman" w:cs="Times New Roman"/>
          <w:sz w:val="24"/>
          <w:szCs w:val="24"/>
        </w:rPr>
        <w:tab/>
        <w:t xml:space="preserve">“p” piyasa katılımcısının kısa pozisyon sahibi olduğu kontratlara ilişkin hesaplanan satış tutarını, </w:t>
      </w:r>
    </w:p>
    <w:p w14:paraId="1D76E881"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VGPAT</w:t>
      </w:r>
      <w:r w:rsidRPr="00E4115B">
        <w:rPr>
          <w:rFonts w:ascii="Times New Roman" w:eastAsiaTheme="minorEastAsia" w:hAnsi="Times New Roman" w:cs="Times New Roman"/>
          <w:sz w:val="24"/>
          <w:szCs w:val="24"/>
          <w:vertAlign w:val="subscript"/>
        </w:rPr>
        <w:t>p,u</w:t>
      </w:r>
      <w:r w:rsidRPr="00E4115B">
        <w:rPr>
          <w:rFonts w:ascii="Times New Roman" w:eastAsiaTheme="minorEastAsia" w:hAnsi="Times New Roman" w:cs="Times New Roman"/>
          <w:sz w:val="24"/>
          <w:szCs w:val="24"/>
        </w:rPr>
        <w:t xml:space="preserve">  :</w:t>
      </w:r>
      <w:r w:rsidRPr="00E4115B">
        <w:rPr>
          <w:rFonts w:ascii="Times New Roman" w:eastAsiaTheme="minorEastAsia" w:hAnsi="Times New Roman" w:cs="Times New Roman"/>
          <w:sz w:val="24"/>
          <w:szCs w:val="24"/>
        </w:rPr>
        <w:tab/>
        <w:t xml:space="preserve">“p” piyasa katılımcısının uzun pozisyon sahibi olduğu kontratlara ilişkin hesaplanan alış tutarını, </w:t>
      </w:r>
    </w:p>
    <w:p w14:paraId="75C258E1"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EF</w:t>
      </w:r>
      <w:r w:rsidRPr="00E4115B">
        <w:rPr>
          <w:rFonts w:ascii="Times New Roman" w:eastAsiaTheme="minorEastAsia" w:hAnsi="Times New Roman" w:cs="Times New Roman"/>
          <w:sz w:val="24"/>
          <w:szCs w:val="24"/>
          <w:vertAlign w:val="subscript"/>
        </w:rPr>
        <w:t>p,i,j,k</w:t>
      </w:r>
      <w:r w:rsidRPr="00E4115B">
        <w:rPr>
          <w:rFonts w:ascii="Times New Roman" w:eastAsiaTheme="minorEastAsia" w:hAnsi="Times New Roman" w:cs="Times New Roman"/>
          <w:sz w:val="24"/>
          <w:szCs w:val="24"/>
        </w:rPr>
        <w:tab/>
        <w:t xml:space="preserve">  :</w:t>
      </w:r>
      <w:r w:rsidRPr="00E4115B">
        <w:rPr>
          <w:rFonts w:ascii="Times New Roman" w:eastAsiaTheme="minorEastAsia" w:hAnsi="Times New Roman" w:cs="Times New Roman"/>
          <w:sz w:val="24"/>
          <w:szCs w:val="24"/>
        </w:rPr>
        <w:tab/>
        <w:t>“p” piyasa katılımcısının kısa pozisyon sahibi olduğu “i” kontratı “j” pozisyonu için eşleşme fiyatını (TL/1000 Sm</w:t>
      </w:r>
      <w:r w:rsidRPr="00E4115B">
        <w:rPr>
          <w:rFonts w:ascii="Times New Roman" w:eastAsiaTheme="minorEastAsia" w:hAnsi="Times New Roman" w:cs="Times New Roman"/>
          <w:sz w:val="24"/>
          <w:szCs w:val="24"/>
          <w:vertAlign w:val="superscript"/>
        </w:rPr>
        <w:t>3</w:t>
      </w:r>
      <w:r w:rsidRPr="00E4115B">
        <w:rPr>
          <w:rFonts w:ascii="Times New Roman" w:eastAsiaTheme="minorEastAsia" w:hAnsi="Times New Roman" w:cs="Times New Roman"/>
          <w:sz w:val="24"/>
          <w:szCs w:val="24"/>
        </w:rPr>
        <w:t xml:space="preserve">), </w:t>
      </w:r>
    </w:p>
    <w:p w14:paraId="3BD89C89"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EF</w:t>
      </w:r>
      <w:r w:rsidRPr="00E4115B">
        <w:rPr>
          <w:rFonts w:ascii="Times New Roman" w:eastAsiaTheme="minorEastAsia" w:hAnsi="Times New Roman" w:cs="Times New Roman"/>
          <w:sz w:val="24"/>
          <w:szCs w:val="24"/>
          <w:vertAlign w:val="subscript"/>
        </w:rPr>
        <w:t>p,i,j,u</w:t>
      </w:r>
      <w:r w:rsidRPr="00E4115B">
        <w:rPr>
          <w:rFonts w:ascii="Times New Roman" w:eastAsiaTheme="minorEastAsia" w:hAnsi="Times New Roman" w:cs="Times New Roman"/>
          <w:sz w:val="24"/>
          <w:szCs w:val="24"/>
        </w:rPr>
        <w:tab/>
        <w:t xml:space="preserve">  :</w:t>
      </w:r>
      <w:r w:rsidRPr="00E4115B">
        <w:rPr>
          <w:rFonts w:ascii="Times New Roman" w:eastAsiaTheme="minorEastAsia" w:hAnsi="Times New Roman" w:cs="Times New Roman"/>
          <w:sz w:val="24"/>
          <w:szCs w:val="24"/>
        </w:rPr>
        <w:tab/>
        <w:t>“p” piyasa katılımcısının uzun pozisyon sahibi olduğu “i” kontratı “j” pozisyonu için eşleşme fiyatını (TL/1000 Sm</w:t>
      </w:r>
      <w:r w:rsidRPr="00E4115B">
        <w:rPr>
          <w:rFonts w:ascii="Times New Roman" w:eastAsiaTheme="minorEastAsia" w:hAnsi="Times New Roman" w:cs="Times New Roman"/>
          <w:sz w:val="24"/>
          <w:szCs w:val="24"/>
          <w:vertAlign w:val="superscript"/>
        </w:rPr>
        <w:t>3</w:t>
      </w:r>
      <w:r w:rsidRPr="00E4115B">
        <w:rPr>
          <w:rFonts w:ascii="Times New Roman" w:eastAsiaTheme="minorEastAsia" w:hAnsi="Times New Roman" w:cs="Times New Roman"/>
          <w:sz w:val="24"/>
          <w:szCs w:val="24"/>
        </w:rPr>
        <w:t xml:space="preserve">), </w:t>
      </w:r>
    </w:p>
    <w:p w14:paraId="7FFA03B7"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VGPSM</w:t>
      </w:r>
      <w:r w:rsidRPr="00E4115B">
        <w:rPr>
          <w:rFonts w:ascii="Times New Roman" w:eastAsiaTheme="minorEastAsia" w:hAnsi="Times New Roman" w:cs="Times New Roman"/>
          <w:sz w:val="24"/>
          <w:szCs w:val="24"/>
          <w:vertAlign w:val="subscript"/>
        </w:rPr>
        <w:t>p,i,j,k</w:t>
      </w:r>
      <w:r w:rsidRPr="00E4115B">
        <w:rPr>
          <w:rFonts w:ascii="Times New Roman" w:eastAsiaTheme="minorEastAsia" w:hAnsi="Times New Roman" w:cs="Times New Roman"/>
          <w:sz w:val="24"/>
          <w:szCs w:val="24"/>
        </w:rPr>
        <w:tab/>
        <w:t>:</w:t>
      </w:r>
      <w:r w:rsidRPr="00E4115B">
        <w:rPr>
          <w:rFonts w:ascii="Times New Roman" w:eastAsiaTheme="minorEastAsia" w:hAnsi="Times New Roman" w:cs="Times New Roman"/>
          <w:sz w:val="24"/>
          <w:szCs w:val="24"/>
        </w:rPr>
        <w:tab/>
        <w:t>“p” piyasa katılımcısının kısa pozisyon sahibi olduğu “i” kontratı “j” pozisyonu için eşleşme miktarını (1000 Sm</w:t>
      </w:r>
      <w:r w:rsidRPr="00E4115B">
        <w:rPr>
          <w:rFonts w:ascii="Times New Roman" w:eastAsiaTheme="minorEastAsia" w:hAnsi="Times New Roman" w:cs="Times New Roman"/>
          <w:sz w:val="24"/>
          <w:szCs w:val="24"/>
          <w:vertAlign w:val="superscript"/>
        </w:rPr>
        <w:t>3</w:t>
      </w:r>
      <w:r w:rsidRPr="00E4115B">
        <w:rPr>
          <w:rFonts w:ascii="Times New Roman" w:eastAsiaTheme="minorEastAsia" w:hAnsi="Times New Roman" w:cs="Times New Roman"/>
          <w:sz w:val="24"/>
          <w:szCs w:val="24"/>
        </w:rPr>
        <w:t xml:space="preserve">), </w:t>
      </w:r>
    </w:p>
    <w:p w14:paraId="356D7C6A"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VGPAM</w:t>
      </w:r>
      <w:r w:rsidRPr="00E4115B">
        <w:rPr>
          <w:rFonts w:ascii="Times New Roman" w:eastAsiaTheme="minorEastAsia" w:hAnsi="Times New Roman" w:cs="Times New Roman"/>
          <w:sz w:val="24"/>
          <w:szCs w:val="24"/>
          <w:vertAlign w:val="subscript"/>
        </w:rPr>
        <w:t>p,i,j,u</w:t>
      </w:r>
      <w:r w:rsidRPr="00E4115B">
        <w:rPr>
          <w:rFonts w:ascii="Times New Roman" w:eastAsiaTheme="minorEastAsia" w:hAnsi="Times New Roman" w:cs="Times New Roman"/>
          <w:sz w:val="24"/>
          <w:szCs w:val="24"/>
        </w:rPr>
        <w:tab/>
        <w:t>:</w:t>
      </w:r>
      <w:r w:rsidRPr="00E4115B">
        <w:rPr>
          <w:rFonts w:ascii="Times New Roman" w:eastAsiaTheme="minorEastAsia" w:hAnsi="Times New Roman" w:cs="Times New Roman"/>
          <w:sz w:val="24"/>
          <w:szCs w:val="24"/>
        </w:rPr>
        <w:tab/>
        <w:t>“p” piyasa katılımcısının uzun pozisyon sahibi olduğu “i” kontratı “j” pozisyonu için eşleşme miktarını (1000 Sm</w:t>
      </w:r>
      <w:r w:rsidRPr="00E4115B">
        <w:rPr>
          <w:rFonts w:ascii="Times New Roman" w:eastAsiaTheme="minorEastAsia" w:hAnsi="Times New Roman" w:cs="Times New Roman"/>
          <w:sz w:val="24"/>
          <w:szCs w:val="24"/>
          <w:vertAlign w:val="superscript"/>
        </w:rPr>
        <w:t>3</w:t>
      </w:r>
      <w:r w:rsidRPr="00E4115B">
        <w:rPr>
          <w:rFonts w:ascii="Times New Roman" w:eastAsiaTheme="minorEastAsia" w:hAnsi="Times New Roman" w:cs="Times New Roman"/>
          <w:sz w:val="24"/>
          <w:szCs w:val="24"/>
        </w:rPr>
        <w:t xml:space="preserve">), </w:t>
      </w:r>
    </w:p>
    <w:p w14:paraId="444ACEF1"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M</w:t>
      </w:r>
      <w:r w:rsidRPr="00E4115B">
        <w:rPr>
          <w:rFonts w:ascii="Times New Roman" w:eastAsiaTheme="minorEastAsia" w:hAnsi="Times New Roman" w:cs="Times New Roman"/>
          <w:sz w:val="24"/>
          <w:szCs w:val="24"/>
          <w:vertAlign w:val="subscript"/>
        </w:rPr>
        <w:t>p,i,j,u</w:t>
      </w:r>
      <w:r w:rsidRPr="00E4115B">
        <w:rPr>
          <w:rFonts w:ascii="Times New Roman" w:eastAsiaTheme="minorEastAsia" w:hAnsi="Times New Roman" w:cs="Times New Roman"/>
          <w:sz w:val="24"/>
          <w:szCs w:val="24"/>
        </w:rPr>
        <w:tab/>
        <w:t xml:space="preserve"> :</w:t>
      </w:r>
      <w:r w:rsidRPr="00E4115B">
        <w:rPr>
          <w:rFonts w:ascii="Times New Roman" w:eastAsiaTheme="minorEastAsia" w:hAnsi="Times New Roman" w:cs="Times New Roman"/>
          <w:sz w:val="24"/>
          <w:szCs w:val="24"/>
        </w:rPr>
        <w:tab/>
        <w:t xml:space="preserve">“p” piyasa katılımcısının uzun pozisyon sahibi olduğu “i” kontratı “j” pozisyonunun miktarını, </w:t>
      </w:r>
    </w:p>
    <w:p w14:paraId="04F1C4A1"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M</w:t>
      </w:r>
      <w:r w:rsidRPr="00E4115B">
        <w:rPr>
          <w:rFonts w:ascii="Times New Roman" w:eastAsiaTheme="minorEastAsia" w:hAnsi="Times New Roman" w:cs="Times New Roman"/>
          <w:sz w:val="24"/>
          <w:szCs w:val="24"/>
          <w:vertAlign w:val="subscript"/>
        </w:rPr>
        <w:t>p,i,j,k</w:t>
      </w:r>
      <w:r w:rsidRPr="00E4115B">
        <w:rPr>
          <w:rFonts w:ascii="Times New Roman" w:eastAsiaTheme="minorEastAsia" w:hAnsi="Times New Roman" w:cs="Times New Roman"/>
          <w:sz w:val="24"/>
          <w:szCs w:val="24"/>
          <w:vertAlign w:val="subscript"/>
        </w:rPr>
        <w:tab/>
      </w:r>
      <w:r w:rsidRPr="00E4115B">
        <w:rPr>
          <w:rFonts w:ascii="Times New Roman" w:eastAsiaTheme="minorEastAsia" w:hAnsi="Times New Roman" w:cs="Times New Roman"/>
          <w:sz w:val="24"/>
          <w:szCs w:val="24"/>
        </w:rPr>
        <w:t xml:space="preserve">  :</w:t>
      </w:r>
      <w:r w:rsidRPr="00E4115B">
        <w:rPr>
          <w:rFonts w:ascii="Times New Roman" w:eastAsiaTheme="minorEastAsia" w:hAnsi="Times New Roman" w:cs="Times New Roman"/>
          <w:sz w:val="24"/>
          <w:szCs w:val="24"/>
        </w:rPr>
        <w:tab/>
        <w:t>“p” piyasa katılımcısının kısa pozisyon sahibi olduğu “i” kontratı “j” pozisyonunun miktarını,</w:t>
      </w:r>
    </w:p>
    <w:p w14:paraId="4A10F621"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KGS</w:t>
      </w:r>
      <w:r w:rsidRPr="00E4115B">
        <w:rPr>
          <w:rFonts w:ascii="Times New Roman" w:eastAsiaTheme="minorEastAsia" w:hAnsi="Times New Roman" w:cs="Times New Roman"/>
          <w:sz w:val="24"/>
          <w:szCs w:val="24"/>
          <w:vertAlign w:val="subscript"/>
        </w:rPr>
        <w:t>i</w:t>
      </w:r>
      <w:r w:rsidRPr="00E4115B">
        <w:rPr>
          <w:rFonts w:ascii="Times New Roman" w:eastAsiaTheme="minorEastAsia" w:hAnsi="Times New Roman" w:cs="Times New Roman"/>
          <w:sz w:val="24"/>
          <w:szCs w:val="24"/>
        </w:rPr>
        <w:tab/>
        <w:t>:</w:t>
      </w:r>
      <w:r w:rsidRPr="00E4115B">
        <w:rPr>
          <w:rFonts w:ascii="Times New Roman" w:eastAsiaTheme="minorEastAsia" w:hAnsi="Times New Roman" w:cs="Times New Roman"/>
          <w:sz w:val="24"/>
          <w:szCs w:val="24"/>
        </w:rPr>
        <w:tab/>
        <w:t xml:space="preserve">“i” kontratının teslimat dönemini kapsayan gaz günü sayısını, </w:t>
      </w:r>
    </w:p>
    <w:p w14:paraId="07BF3F30"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m   :</w:t>
      </w:r>
      <w:r w:rsidRPr="00E4115B">
        <w:rPr>
          <w:rFonts w:ascii="Times New Roman" w:eastAsiaTheme="minorEastAsia" w:hAnsi="Times New Roman" w:cs="Times New Roman"/>
          <w:sz w:val="24"/>
          <w:szCs w:val="24"/>
        </w:rPr>
        <w:tab/>
        <w:t>“p” piyasa katılımcısının kısa pozisyon sahibi olduğu kontrat sayısını,</w:t>
      </w:r>
    </w:p>
    <w:p w14:paraId="4EE7B6D4"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n   :</w:t>
      </w:r>
      <w:r w:rsidRPr="00E4115B">
        <w:rPr>
          <w:rFonts w:ascii="Times New Roman" w:eastAsiaTheme="minorEastAsia" w:hAnsi="Times New Roman" w:cs="Times New Roman"/>
          <w:sz w:val="24"/>
          <w:szCs w:val="24"/>
        </w:rPr>
        <w:tab/>
        <w:t>“p” piyasa katılımcısının kısa pozisyon sahibi olduğu pozisyon sayısını,</w:t>
      </w:r>
    </w:p>
    <w:p w14:paraId="2A5DCB2B"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e   :</w:t>
      </w:r>
      <w:r w:rsidRPr="00E4115B">
        <w:rPr>
          <w:rFonts w:ascii="Times New Roman" w:eastAsiaTheme="minorEastAsia" w:hAnsi="Times New Roman" w:cs="Times New Roman"/>
          <w:sz w:val="24"/>
          <w:szCs w:val="24"/>
        </w:rPr>
        <w:tab/>
        <w:t>“p” piyasa katılımcısının uzun pozisyon sahibi olduğu kontrat sayısını,</w:t>
      </w:r>
    </w:p>
    <w:p w14:paraId="6B47F687"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s   :</w:t>
      </w:r>
      <w:r w:rsidRPr="00E4115B">
        <w:rPr>
          <w:rFonts w:ascii="Times New Roman" w:eastAsiaTheme="minorEastAsia" w:hAnsi="Times New Roman" w:cs="Times New Roman"/>
          <w:sz w:val="24"/>
          <w:szCs w:val="24"/>
        </w:rPr>
        <w:tab/>
        <w:t>“p” piyasa katılımcısının uzun pozisyon sahibi olduğu pozisyon sayısını</w:t>
      </w:r>
    </w:p>
    <w:p w14:paraId="42C984F1"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t>ifade eder.</w:t>
      </w:r>
    </w:p>
    <w:p w14:paraId="47FDDA9B" w14:textId="77777777" w:rsidR="00101861" w:rsidRPr="00E4115B" w:rsidRDefault="00101861" w:rsidP="00C63473">
      <w:pPr>
        <w:jc w:val="both"/>
        <w:rPr>
          <w:rFonts w:ascii="Times New Roman" w:eastAsiaTheme="minorEastAsia" w:hAnsi="Times New Roman" w:cs="Times New Roman"/>
          <w:sz w:val="24"/>
          <w:szCs w:val="24"/>
        </w:rPr>
      </w:pPr>
    </w:p>
    <w:p w14:paraId="70B849F7" w14:textId="77777777" w:rsidR="00101861" w:rsidRPr="00E4115B" w:rsidRDefault="00101861" w:rsidP="006C2D1D">
      <w:pPr>
        <w:pStyle w:val="Balk2"/>
      </w:pPr>
      <w:bookmarkStart w:id="87" w:name="_Toc64755979"/>
      <w:r w:rsidRPr="00E4115B">
        <w:t>VGP İşletim Ücreti</w:t>
      </w:r>
      <w:bookmarkEnd w:id="87"/>
      <w:r w:rsidRPr="00E4115B">
        <w:t xml:space="preserve"> </w:t>
      </w:r>
    </w:p>
    <w:p w14:paraId="68FA8AE1" w14:textId="4AA4BB09" w:rsidR="00101861" w:rsidRPr="00E4115B" w:rsidRDefault="00101861" w:rsidP="006C2D1D">
      <w:pPr>
        <w:pStyle w:val="Balk3"/>
        <w:ind w:left="0" w:hanging="11"/>
        <w:rPr>
          <w:b w:val="0"/>
        </w:rPr>
      </w:pPr>
      <w:r w:rsidRPr="00E4115B">
        <w:rPr>
          <w:b w:val="0"/>
        </w:rPr>
        <w:t xml:space="preserve">Her bir piyasa katılımcısına tahakkuk ettirilecek </w:t>
      </w:r>
      <w:r w:rsidR="00E53218" w:rsidRPr="00044390">
        <w:rPr>
          <w:b w:val="0"/>
        </w:rPr>
        <w:t xml:space="preserve">piyasa </w:t>
      </w:r>
      <w:r w:rsidRPr="00E4115B">
        <w:rPr>
          <w:b w:val="0"/>
        </w:rPr>
        <w:t>işletim ücreti (PİÜ), yıllık VGP katılım ücreti, VGP işlem ücreti ve kabul edilmeyen itiraz ücretinden oluşur.</w:t>
      </w:r>
    </w:p>
    <w:p w14:paraId="6EAEC735" w14:textId="77777777" w:rsidR="00101861" w:rsidRPr="00E4115B" w:rsidRDefault="00101861" w:rsidP="006C2D1D">
      <w:pPr>
        <w:pStyle w:val="Balk3"/>
        <w:ind w:left="0" w:hanging="11"/>
        <w:rPr>
          <w:b w:val="0"/>
        </w:rPr>
      </w:pPr>
      <w:r w:rsidRPr="00E4115B">
        <w:rPr>
          <w:b w:val="0"/>
        </w:rPr>
        <w:t>VGP’de işlem yapmak için VGP Katılım Anlaşması imzalayan piyasa katılımcılarından yıllık olarak VGP kayıt ücreti alınır.</w:t>
      </w:r>
    </w:p>
    <w:p w14:paraId="421D248E" w14:textId="77777777" w:rsidR="00101861" w:rsidRPr="00E4115B" w:rsidRDefault="00101861" w:rsidP="006C2D1D">
      <w:pPr>
        <w:pStyle w:val="Balk3"/>
        <w:ind w:left="0" w:hanging="11"/>
        <w:rPr>
          <w:b w:val="0"/>
        </w:rPr>
      </w:pPr>
      <w:r w:rsidRPr="00E4115B">
        <w:rPr>
          <w:b w:val="0"/>
        </w:rPr>
        <w:t>PİÜ, ilgili kontratın ilk teslimat dönemine ait faturada tahsil edilir.</w:t>
      </w:r>
    </w:p>
    <w:p w14:paraId="73102F6E" w14:textId="77777777" w:rsidR="00101861" w:rsidRPr="00E4115B" w:rsidRDefault="00101861" w:rsidP="006C2D1D">
      <w:pPr>
        <w:pStyle w:val="Balk3"/>
        <w:ind w:left="0" w:hanging="11"/>
        <w:rPr>
          <w:b w:val="0"/>
        </w:rPr>
      </w:pPr>
      <w:r w:rsidRPr="00E4115B">
        <w:rPr>
          <w:b w:val="0"/>
        </w:rPr>
        <w:t>VGP işletim ücreti, VGP’de yapılan işlemler için Sm</w:t>
      </w:r>
      <w:r w:rsidRPr="00E4115B">
        <w:rPr>
          <w:b w:val="0"/>
          <w:vertAlign w:val="superscript"/>
        </w:rPr>
        <w:t>3</w:t>
      </w:r>
      <w:r w:rsidRPr="00E4115B">
        <w:rPr>
          <w:b w:val="0"/>
        </w:rPr>
        <w:t xml:space="preserve"> başına (TL/Sm</w:t>
      </w:r>
      <w:r w:rsidRPr="00E4115B">
        <w:rPr>
          <w:b w:val="0"/>
          <w:vertAlign w:val="superscript"/>
        </w:rPr>
        <w:t>3</w:t>
      </w:r>
      <w:r w:rsidRPr="00E4115B">
        <w:rPr>
          <w:b w:val="0"/>
        </w:rPr>
        <w:t xml:space="preserve">) olarak alınır. </w:t>
      </w:r>
    </w:p>
    <w:p w14:paraId="4EF8729D" w14:textId="77777777" w:rsidR="00101861" w:rsidRPr="00E4115B" w:rsidRDefault="00101861" w:rsidP="006C2D1D">
      <w:pPr>
        <w:pStyle w:val="Balk3"/>
        <w:ind w:left="0" w:hanging="11"/>
        <w:rPr>
          <w:b w:val="0"/>
        </w:rPr>
      </w:pPr>
      <w:r w:rsidRPr="00E4115B">
        <w:rPr>
          <w:b w:val="0"/>
        </w:rPr>
        <w:t>PİÜ’nün belirlenmesine ve piyasa katılımcılarından tahsil edilmesine ilişkin hususlar Kurul Kararı ile düzenlenir.</w:t>
      </w:r>
    </w:p>
    <w:p w14:paraId="2C51E15B" w14:textId="77777777" w:rsidR="00101861" w:rsidRPr="00E4115B" w:rsidRDefault="00101861" w:rsidP="00C63473">
      <w:pPr>
        <w:jc w:val="both"/>
        <w:rPr>
          <w:rFonts w:ascii="Times New Roman" w:hAnsi="Times New Roman" w:cs="Times New Roman"/>
          <w:sz w:val="24"/>
          <w:szCs w:val="24"/>
        </w:rPr>
      </w:pPr>
    </w:p>
    <w:p w14:paraId="5C3F1E3F" w14:textId="77777777" w:rsidR="00101861" w:rsidRPr="00E4115B" w:rsidRDefault="00101861" w:rsidP="004A35D9">
      <w:pPr>
        <w:pStyle w:val="Balk1"/>
      </w:pPr>
      <w:bookmarkStart w:id="88" w:name="_Toc64755980"/>
      <w:r w:rsidRPr="00E4115B">
        <w:lastRenderedPageBreak/>
        <w:t>BİLDİRİMLER, FATURALAMA ve ÖDEMELER</w:t>
      </w:r>
      <w:bookmarkEnd w:id="88"/>
    </w:p>
    <w:p w14:paraId="7C784DF2" w14:textId="77777777" w:rsidR="00101861" w:rsidRPr="00E4115B" w:rsidRDefault="00101861" w:rsidP="006C2D1D">
      <w:pPr>
        <w:pStyle w:val="Balk2"/>
      </w:pPr>
      <w:bookmarkStart w:id="89" w:name="_Toc64755981"/>
      <w:bookmarkStart w:id="90" w:name="_Toc64755982"/>
      <w:bookmarkEnd w:id="89"/>
      <w:r w:rsidRPr="00E4115B">
        <w:t>VGP Faturaya Esas Uzlaştırma Bildirimleri</w:t>
      </w:r>
      <w:bookmarkEnd w:id="90"/>
      <w:r w:rsidRPr="00E4115B">
        <w:tab/>
      </w:r>
    </w:p>
    <w:p w14:paraId="2E532ECE" w14:textId="77777777" w:rsidR="00101861" w:rsidRPr="00E4115B" w:rsidRDefault="00101861" w:rsidP="006C2D1D">
      <w:pPr>
        <w:pStyle w:val="Balk3"/>
        <w:ind w:left="0" w:hanging="11"/>
        <w:rPr>
          <w:b w:val="0"/>
        </w:rPr>
      </w:pPr>
      <w:r w:rsidRPr="00E4115B">
        <w:rPr>
          <w:b w:val="0"/>
        </w:rPr>
        <w:t>Uzlaştırma hesaplamaları sonucunda piyasa katılımcılarının her fatura dönemi için piyasa işletmecisine ödeyeceği ya da piyasa işletmecisi tarafından piyasa katılımcılarına ödenecek tutarları içeren VGP ön uzlaştırma bildirimi, en geç fatura dönemini takip eden ayın onuncu günü, bu günün resmi tatil gününe denk gelmesi halinde resmi tatil gününü takip eden ilk iş günü, STP aracılığı ile ilgili piyasa katılımcılarına duyurulur.</w:t>
      </w:r>
    </w:p>
    <w:p w14:paraId="48377245" w14:textId="77777777" w:rsidR="00101861" w:rsidRPr="00E4115B" w:rsidRDefault="00101861" w:rsidP="006C2D1D">
      <w:pPr>
        <w:pStyle w:val="Balk3"/>
        <w:ind w:left="0" w:hanging="11"/>
        <w:rPr>
          <w:b w:val="0"/>
        </w:rPr>
      </w:pPr>
      <w:r w:rsidRPr="00E4115B">
        <w:rPr>
          <w:b w:val="0"/>
        </w:rPr>
        <w:t>Piyasa katılımcılarının VGP ön uzlaştırma bildirimlerinde tespit ettikleri maddi hatalara ilişkin itirazlarının, ilgili fatura dönemine ait işlemler kapsamında değerlendirmeye alınabilmesi için VGP ön uzlaştırma bildirimlerine yapılacak itirazın, bildirimlerin yayımlandığı günü takip eden ilk iş günü, saat 16:00’a kadar yapılması gerekir. İtirazların yapıldığı günü takip eden ilk iş günü, piyasa işletmecisi tarafından saat 16:00’a kadar ilgili itirazlar da değerlendirilerek takip eden ilk iş günü VGP faturaya esas uzlaştırma bildirimi yayımlanır. İtirazların saat 16:00’a kadar sonuçlandırılamaması halinde madde 15.2’de açıklanan süreç uygulanır. İtirazın uygun bulunmaması durumunda, piyasa katılımcısına bilgi verilir.</w:t>
      </w:r>
    </w:p>
    <w:p w14:paraId="1227AE51" w14:textId="77777777" w:rsidR="00101861" w:rsidRPr="00E4115B" w:rsidRDefault="00101861" w:rsidP="006C2D1D">
      <w:pPr>
        <w:pStyle w:val="Balk3"/>
        <w:ind w:left="0" w:hanging="11"/>
        <w:rPr>
          <w:b w:val="0"/>
        </w:rPr>
      </w:pPr>
      <w:r w:rsidRPr="00E4115B">
        <w:rPr>
          <w:b w:val="0"/>
        </w:rPr>
        <w:t>Piyasa işletmecisi tarafından piyasa katılımcılara duyurulan VGP faturaya esas uzlaştırma bildiriminde asgari olarak aşağıda belirtilen kalemler yer alır:</w:t>
      </w:r>
    </w:p>
    <w:p w14:paraId="17570676" w14:textId="77777777" w:rsidR="00101861" w:rsidRPr="00E4115B" w:rsidRDefault="00101861"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a. Piyasa katılımcısının VGP’de gerçekleştirdikleri satışlarına ilişkin doğal gaz miktarı ve alacak dökümü, </w:t>
      </w:r>
    </w:p>
    <w:p w14:paraId="009F96B7" w14:textId="77777777" w:rsidR="00101861" w:rsidRPr="00E4115B" w:rsidRDefault="00101861"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Piyasa katılımcısının VGP’de gerçekleştirdikleri alışlarına ilişkin doğal gaz miktarı ve borç dökümü, </w:t>
      </w:r>
    </w:p>
    <w:p w14:paraId="0565A6A7" w14:textId="77777777" w:rsidR="00101861" w:rsidRPr="00E4115B" w:rsidRDefault="00101861"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c.  Fatura ödemelerine ilişkin gecikme zammı kalemleri, </w:t>
      </w:r>
    </w:p>
    <w:p w14:paraId="27B702AD" w14:textId="77777777" w:rsidR="00101861" w:rsidRPr="00E4115B" w:rsidRDefault="006C2D1D"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101861" w:rsidRPr="00E4115B">
        <w:rPr>
          <w:rFonts w:ascii="Times New Roman" w:hAnsi="Times New Roman" w:cs="Times New Roman"/>
          <w:sz w:val="24"/>
          <w:szCs w:val="24"/>
        </w:rPr>
        <w:t>.  Piyasa katılımcısına tahakkuk ettirilecek piyasa işletim ücreti,</w:t>
      </w:r>
    </w:p>
    <w:p w14:paraId="32EE7A0D" w14:textId="77777777" w:rsidR="00101861" w:rsidRPr="00E4115B" w:rsidRDefault="006C2D1D"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101861" w:rsidRPr="00E4115B">
        <w:rPr>
          <w:rFonts w:ascii="Times New Roman" w:hAnsi="Times New Roman" w:cs="Times New Roman"/>
          <w:sz w:val="24"/>
          <w:szCs w:val="24"/>
        </w:rPr>
        <w:t>.  Temerrüt garanti hesabı katkı payı,</w:t>
      </w:r>
    </w:p>
    <w:p w14:paraId="01CD1F0E" w14:textId="77777777" w:rsidR="00101861" w:rsidRPr="00E4115B" w:rsidRDefault="006C2D1D" w:rsidP="00C63473">
      <w:pPr>
        <w:jc w:val="both"/>
        <w:rPr>
          <w:rFonts w:ascii="Times New Roman" w:hAnsi="Times New Roman" w:cs="Times New Roman"/>
          <w:sz w:val="24"/>
          <w:szCs w:val="24"/>
        </w:rPr>
      </w:pPr>
      <w:r w:rsidRPr="00E4115B">
        <w:rPr>
          <w:rFonts w:ascii="Times New Roman" w:hAnsi="Times New Roman" w:cs="Times New Roman"/>
          <w:sz w:val="24"/>
          <w:szCs w:val="24"/>
        </w:rPr>
        <w:t>e</w:t>
      </w:r>
      <w:r w:rsidR="00101861" w:rsidRPr="00E4115B">
        <w:rPr>
          <w:rFonts w:ascii="Times New Roman" w:hAnsi="Times New Roman" w:cs="Times New Roman"/>
          <w:sz w:val="24"/>
          <w:szCs w:val="24"/>
        </w:rPr>
        <w:t>.   Temerrüt garanti hesabı gecikme zammı tutarı,</w:t>
      </w:r>
    </w:p>
    <w:p w14:paraId="352CFB25" w14:textId="77777777" w:rsidR="00101861" w:rsidRPr="00E4115B" w:rsidRDefault="006C2D1D" w:rsidP="00C63473">
      <w:pPr>
        <w:jc w:val="both"/>
        <w:rPr>
          <w:rFonts w:ascii="Times New Roman" w:hAnsi="Times New Roman" w:cs="Times New Roman"/>
          <w:sz w:val="24"/>
          <w:szCs w:val="24"/>
        </w:rPr>
      </w:pPr>
      <w:r w:rsidRPr="00E4115B">
        <w:rPr>
          <w:rFonts w:ascii="Times New Roman" w:hAnsi="Times New Roman" w:cs="Times New Roman"/>
          <w:sz w:val="24"/>
          <w:szCs w:val="24"/>
        </w:rPr>
        <w:t>f</w:t>
      </w:r>
      <w:r w:rsidR="00101861" w:rsidRPr="00E4115B">
        <w:rPr>
          <w:rFonts w:ascii="Times New Roman" w:hAnsi="Times New Roman" w:cs="Times New Roman"/>
          <w:sz w:val="24"/>
          <w:szCs w:val="24"/>
        </w:rPr>
        <w:t xml:space="preserve">.  Geçmişe Dönük Düzeltme Kalemi (GDDK), </w:t>
      </w:r>
    </w:p>
    <w:p w14:paraId="19AB8C3B" w14:textId="77777777" w:rsidR="00101861" w:rsidRPr="00E4115B" w:rsidRDefault="006C2D1D"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g. </w:t>
      </w:r>
      <w:r w:rsidR="00101861" w:rsidRPr="00E4115B">
        <w:rPr>
          <w:rFonts w:ascii="Times New Roman" w:hAnsi="Times New Roman" w:cs="Times New Roman"/>
          <w:sz w:val="24"/>
          <w:szCs w:val="24"/>
        </w:rPr>
        <w:t>Yasal vergi ve harçlar.</w:t>
      </w:r>
    </w:p>
    <w:p w14:paraId="689E2274" w14:textId="77777777" w:rsidR="00101861" w:rsidRPr="00E4115B" w:rsidRDefault="00101861" w:rsidP="003D757E">
      <w:pPr>
        <w:pStyle w:val="Balk2"/>
      </w:pPr>
      <w:bookmarkStart w:id="91" w:name="_Toc64755983"/>
      <w:r w:rsidRPr="00E4115B">
        <w:t>Faturalama, Faturaya İtiraz ve Düzeltme İşlemleri</w:t>
      </w:r>
      <w:bookmarkEnd w:id="91"/>
    </w:p>
    <w:p w14:paraId="159CAFAF" w14:textId="77777777" w:rsidR="00101861" w:rsidRPr="00E4115B" w:rsidRDefault="00101861" w:rsidP="003D757E">
      <w:pPr>
        <w:pStyle w:val="Balk3"/>
        <w:ind w:left="0" w:hanging="11"/>
        <w:rPr>
          <w:b w:val="0"/>
        </w:rPr>
      </w:pPr>
      <w:r w:rsidRPr="00E4115B">
        <w:rPr>
          <w:b w:val="0"/>
        </w:rPr>
        <w:t xml:space="preserve">Piyasa işletmecisi, VGP faturaya esas uzlaştırma bildiriminin STP aracılığıyla ilgili piyasa katılımcılarına duyurulduğu günden itibaren 7 (yedi) gün içinde, geçerli faturaya esas uzlaştırma bildiriminde yer alan tutarlara göre faturaları düzenler ve ilgili piyasa faaliyetiyle iştigal eden piyasa katılımcılarına gönderir. Piyasa işletmecisi tarafından VGP faturaya esas uzlaştırma bildiriminin STP’de yayımlanma tarihi, piyasa katılımcıları için fatura tebliğ tarihi olarak kabul edilir. </w:t>
      </w:r>
    </w:p>
    <w:p w14:paraId="370C837F" w14:textId="77777777" w:rsidR="00101861" w:rsidRPr="00E4115B" w:rsidRDefault="00101861" w:rsidP="003D757E">
      <w:pPr>
        <w:pStyle w:val="Balk3"/>
        <w:ind w:left="0" w:hanging="11"/>
        <w:rPr>
          <w:b w:val="0"/>
        </w:rPr>
      </w:pPr>
      <w:r w:rsidRPr="00E4115B">
        <w:rPr>
          <w:b w:val="0"/>
        </w:rPr>
        <w:t>Piyasa işletmecisi, VGP faturaya esas uzlaştırma bildiriminin yayımlandığı gün, katılımcıların ilgili piyasa faaliyetlerine ilişkin düzenlenmiş olan faturalara istinaden borç/alacak bilgilerini merkezi uzlaştırma kuruluşuna bildirir.</w:t>
      </w:r>
    </w:p>
    <w:p w14:paraId="761D7E71" w14:textId="121A4347" w:rsidR="00101861" w:rsidRPr="00E4115B" w:rsidRDefault="00101861" w:rsidP="003D757E">
      <w:pPr>
        <w:pStyle w:val="Balk3"/>
        <w:ind w:left="0" w:hanging="11"/>
        <w:rPr>
          <w:b w:val="0"/>
        </w:rPr>
      </w:pPr>
      <w:r w:rsidRPr="00E4115B">
        <w:rPr>
          <w:b w:val="0"/>
        </w:rPr>
        <w:lastRenderedPageBreak/>
        <w:t>Ödeme yapılacak piyasa katılımcıları, bildirimlerin yapıldığı günden itibaren 7 (yedi) gün içinde, faturaya esas uzlaştırma bildiriminde yer alan tutarlara göre düzenlediği faturayı 213 sayılı Vergi Usul Kanunu hükümleri uyarınca piyasa işletmecisine gönderir.</w:t>
      </w:r>
    </w:p>
    <w:p w14:paraId="6488B70D" w14:textId="77777777" w:rsidR="00101861" w:rsidRPr="00E4115B" w:rsidRDefault="00101861" w:rsidP="003D757E">
      <w:pPr>
        <w:pStyle w:val="Balk3"/>
        <w:ind w:left="0" w:hanging="11"/>
        <w:rPr>
          <w:b w:val="0"/>
        </w:rPr>
      </w:pPr>
      <w:r w:rsidRPr="00E4115B">
        <w:rPr>
          <w:b w:val="0"/>
        </w:rPr>
        <w:t xml:space="preserve">Piyasa katılımcılarının temerrüde düşmesi nedeniyle iletim şirketi tarafından 13.2.2 maddesi uyarınca fiziksel dönemde gerçekleştirilen işlemler için, iletim şirketi ve piyasa işletmecisi tarafından ilgili kontratlara ait fatura döneminde karşılıklı olarak fatura düzenlenir. </w:t>
      </w:r>
    </w:p>
    <w:p w14:paraId="6BE34D41" w14:textId="77777777" w:rsidR="00101861" w:rsidRPr="00E4115B" w:rsidRDefault="00101861" w:rsidP="003D757E">
      <w:pPr>
        <w:pStyle w:val="Balk3"/>
        <w:ind w:left="0" w:hanging="11"/>
        <w:rPr>
          <w:b w:val="0"/>
        </w:rPr>
      </w:pPr>
      <w:r w:rsidRPr="00E4115B">
        <w:rPr>
          <w:b w:val="0"/>
        </w:rPr>
        <w:t>Faturaya esas uzlaştırma bildirimine göre oluşan tutarlar, 213 sayılı Vergi Usul Kanununa istinaden Maliye Bakanlığının her yıl yayımladığı tahakkuktan vazgeçme sınırının altındaysa, bu sınıra ulaşıncaya kadar oluşan tutarlara faturada yer verilmeyebilir. Yıl içinde söz konusu uzlaştırma tutarları toplamı, tahakkuktan vazgeçme sınırına ulaştığı ay toplam tutar faturada yer alır. Yıl içinde bu sınıra ulaşılmadığı takdirde yıl sonunda toplam tutara ilişkin fatura düzenlenir. Tahakkuktan vazgeçme sınırı her yıl piyasa işletmecisi tarafından, piyasa katılımcılarına duyurulur.</w:t>
      </w:r>
    </w:p>
    <w:p w14:paraId="0A17A729" w14:textId="77777777" w:rsidR="00101861" w:rsidRPr="00E4115B" w:rsidRDefault="00101861" w:rsidP="003D757E">
      <w:pPr>
        <w:pStyle w:val="Balk3"/>
        <w:ind w:left="0" w:hanging="11"/>
        <w:rPr>
          <w:b w:val="0"/>
        </w:rPr>
      </w:pPr>
      <w:r w:rsidRPr="00E4115B">
        <w:rPr>
          <w:b w:val="0"/>
        </w:rPr>
        <w:t>Piyasa katılımcıları, bir fatura dönemine ait VGP faturaya esas uzlaştırma bildirimlerine veya oluşturulan faturalara ilişkin itirazda bulunabilir. İtirazlar, piyasa işletmecisine, faturanın tebliğ tarihinden itibaren 8 (sekiz) gün içinde yazılı olarak yapılır. İtiraz başvurularında, itiraz sebeplerinin belirtilmesi zorunludur.</w:t>
      </w:r>
    </w:p>
    <w:p w14:paraId="48747CC7" w14:textId="77777777" w:rsidR="00101861" w:rsidRPr="00E4115B" w:rsidRDefault="00101861" w:rsidP="003D757E">
      <w:pPr>
        <w:pStyle w:val="Balk3"/>
        <w:ind w:left="0" w:hanging="11"/>
        <w:rPr>
          <w:b w:val="0"/>
        </w:rPr>
      </w:pPr>
      <w:r w:rsidRPr="00E4115B">
        <w:rPr>
          <w:b w:val="0"/>
        </w:rPr>
        <w:t>Piyasa katılımcılarının VGP faturaya esas uzlaştırma bildirimlerine veya faturalara itirazda bulunmaları, ödeme yükümlülüklerini ortadan kaldırmaz.</w:t>
      </w:r>
    </w:p>
    <w:p w14:paraId="37E3B091" w14:textId="77777777" w:rsidR="00101861" w:rsidRPr="00E4115B" w:rsidRDefault="00101861" w:rsidP="003D757E">
      <w:pPr>
        <w:pStyle w:val="Balk3"/>
        <w:ind w:left="0" w:hanging="11"/>
        <w:rPr>
          <w:b w:val="0"/>
        </w:rPr>
      </w:pPr>
      <w:r w:rsidRPr="00E4115B">
        <w:rPr>
          <w:b w:val="0"/>
        </w:rPr>
        <w:t xml:space="preserve">Hatalara ilişkin talepler piyasa işletmecisi tarafından itiraza müteakip 10 (on) iş günü içerisinde sonuçlandırılır ve itiraz sonuçları piyasa katılımcısına yazılı olarak veya STP aracılığıyla gerekçeleri ile birlikte bildirilir. İtirazın haklı bulunması veya piyasa işletmecisinin bir itiraz olmaksızın yapılan bir hatayı tespit etmesi halinde, gerekli düzeltme işlemi yapılır. Piyasa katılımcılarına yapılması gereken veya piyasa katılımcılarının yapması gereken ödeme, düzeltmeye ilişkin yazılı veya STP aracılığıyla bildirimin yapıldığı tarihten sonraki faturada, Geçmişe Dönük Düzeltme Kalemi (GDDK) olarak yer alır. </w:t>
      </w:r>
    </w:p>
    <w:p w14:paraId="34F96F16" w14:textId="77777777" w:rsidR="003D757E" w:rsidRPr="00E4115B" w:rsidRDefault="00101861" w:rsidP="003D757E">
      <w:pPr>
        <w:pStyle w:val="Balk3"/>
        <w:ind w:left="0" w:hanging="11"/>
        <w:rPr>
          <w:b w:val="0"/>
        </w:rPr>
      </w:pPr>
      <w:r w:rsidRPr="00E4115B">
        <w:rPr>
          <w:b w:val="0"/>
        </w:rPr>
        <w:t>İtiraz sonuçları piyasa katılımcısına yazılı olarak veya STP aracılığıyla bildirilir. İtirazın haklı bulunması durumunda ve/veya piyasa işletmecisinin bir itiraz olmaksızın yapılan bir hatayı tespit etmesi halinde, gerekli düzeltme işlemi yapılır. Düzeltme yapılması gerektiğinin belirlenmesi durumunda, piyasa katılımcılarının yapması gereken ve/veya piyasa katılımcılarına yapılması gereken ödemelere, piyasa işletmecisi tarafından piyasa katılımcısına yazılı olarak veya STP aracılığıyla itiraz sonucunun bildirildiği tarihten sonraki en geç üçüncü uzlaştırma bildiriminde geçmişe dönük düzeltme kalemi olarak yer verilir.</w:t>
      </w:r>
    </w:p>
    <w:p w14:paraId="6027729C" w14:textId="77777777" w:rsidR="00101861" w:rsidRPr="00E4115B" w:rsidRDefault="00101861" w:rsidP="003D757E">
      <w:pPr>
        <w:pStyle w:val="Balk3"/>
        <w:ind w:left="0" w:hanging="11"/>
        <w:rPr>
          <w:b w:val="0"/>
        </w:rPr>
      </w:pPr>
      <w:r w:rsidRPr="00E4115B">
        <w:rPr>
          <w:b w:val="0"/>
        </w:rPr>
        <w:t>Piyasaya erişim talebi reddedilen başvuru sahipleri ile piyasa işletmecisi veya piyasaya erişimi askıya alınan piyasa katılımcıları ile piyasa işletmecisi arasındaki uyuşmazlıkların ve piyasa işletmecisinin piyasa erişimini kısmen veya tamamen askıya almasına ilişkin diğer uygulamalarından kaynaklanan uyuşmazlıkların hallinde Kurul yetkilidir. Kurul Kararlarına karşı yargı yolu açıktır.</w:t>
      </w:r>
    </w:p>
    <w:p w14:paraId="6464BFC8" w14:textId="77777777" w:rsidR="00101861" w:rsidRPr="00E4115B" w:rsidRDefault="00101861" w:rsidP="003D757E">
      <w:pPr>
        <w:pStyle w:val="Balk3"/>
        <w:ind w:left="0" w:hanging="11"/>
        <w:rPr>
          <w:b w:val="0"/>
        </w:rPr>
      </w:pPr>
      <w:r w:rsidRPr="00E4115B">
        <w:rPr>
          <w:b w:val="0"/>
        </w:rPr>
        <w:t>Piyasa işletmecisi ile piyasa katılımcıları arasındaki ihtilaflar, piyasa işletmecisinin veya piyasa katılımcılarının başvuruları üzerine Kurum tarafından incelenir.</w:t>
      </w:r>
    </w:p>
    <w:p w14:paraId="081E5831" w14:textId="77777777" w:rsidR="002F63A6" w:rsidRPr="00E4115B" w:rsidRDefault="00101861" w:rsidP="00C63473">
      <w:pPr>
        <w:pStyle w:val="Balk3"/>
        <w:ind w:left="0" w:hanging="11"/>
        <w:rPr>
          <w:b w:val="0"/>
        </w:rPr>
      </w:pPr>
      <w:r w:rsidRPr="00E4115B">
        <w:rPr>
          <w:b w:val="0"/>
        </w:rPr>
        <w:lastRenderedPageBreak/>
        <w:t>Piyasa katılımcıları ile piyasa işletmecisi arasında ortaya çıkabilecek ihtilafların çözümüne ilişkin hususlara STP katılım anlaşmasında ve VGP Katılım Anlaşmasında yer verilir.</w:t>
      </w:r>
    </w:p>
    <w:p w14:paraId="0F29FEEF" w14:textId="77777777" w:rsidR="002F63A6" w:rsidRPr="00E4115B" w:rsidRDefault="002F63A6" w:rsidP="003D757E">
      <w:pPr>
        <w:pStyle w:val="Balk2"/>
      </w:pPr>
      <w:bookmarkStart w:id="92" w:name="_Toc64755984"/>
      <w:r w:rsidRPr="00E4115B">
        <w:t>Ödemeler ve Tahsilat</w:t>
      </w:r>
      <w:bookmarkEnd w:id="92"/>
    </w:p>
    <w:p w14:paraId="5925D3F7" w14:textId="77777777" w:rsidR="002F63A6" w:rsidRPr="00E4115B" w:rsidRDefault="002F63A6" w:rsidP="003D757E">
      <w:pPr>
        <w:pStyle w:val="Balk3"/>
        <w:ind w:left="0" w:hanging="11"/>
        <w:rPr>
          <w:b w:val="0"/>
        </w:rPr>
      </w:pPr>
      <w:r w:rsidRPr="00E4115B">
        <w:rPr>
          <w:b w:val="0"/>
        </w:rPr>
        <w:t>Piyasa işletmecisi tarafından piyasa katılımcısına düzenlenen uzlaştırmaya ilişkin fatura ile ilgili piyasa katılımcısı tarafından piyasa işletmecisine düzenlenen faturada yer alan alacak ve borç bedelleri merkezi uzlaştırma kuruluşuna bildirilir. Merkezi uzlaştırma kuruluşu tarafından alacak ve borçlar arasında mahsuplaşma işlemi otomatik olarak yapılarak net alacak veya net borç bedelleri tespit edilir.</w:t>
      </w:r>
    </w:p>
    <w:p w14:paraId="1B418CF7" w14:textId="77777777" w:rsidR="002F63A6" w:rsidRPr="00E4115B" w:rsidRDefault="002F63A6" w:rsidP="003D757E">
      <w:pPr>
        <w:pStyle w:val="Balk3"/>
        <w:ind w:left="0" w:hanging="11"/>
        <w:rPr>
          <w:b w:val="0"/>
        </w:rPr>
      </w:pPr>
      <w:r w:rsidRPr="00E4115B">
        <w:rPr>
          <w:b w:val="0"/>
        </w:rPr>
        <w:t xml:space="preserve">Net borç bedelleri, piyasa katılımcıları tarafından aracı bankalar aracılığıyla piyasa işletmecisinin merkezi uzlaştırma kuruluşundaki hesabına en geç fatura tebliğ tarihini takip eden dördüncü iş günü ödenir. </w:t>
      </w:r>
    </w:p>
    <w:p w14:paraId="3CC9983A" w14:textId="77777777" w:rsidR="002F63A6" w:rsidRPr="00E4115B" w:rsidRDefault="002F63A6" w:rsidP="003D757E">
      <w:pPr>
        <w:pStyle w:val="Balk3"/>
        <w:ind w:left="0" w:hanging="11"/>
        <w:rPr>
          <w:b w:val="0"/>
        </w:rPr>
      </w:pPr>
      <w:r w:rsidRPr="00E4115B">
        <w:rPr>
          <w:b w:val="0"/>
        </w:rPr>
        <w:t>Piyasa işletmecisi tarafından işletilen tüm doğal gaz piyasalarında işlem yapan tüm piyasa katılımcılarının net borçlarına istinaden, merkezi uzlaştırma kuruluşunda bulunan cari hesaplarına yapmış oldukları fatura ödemeleri belirtilen aşağıdaki sıra ile borçlarına mahsup edilir.</w:t>
      </w:r>
    </w:p>
    <w:p w14:paraId="1CE1C143" w14:textId="77777777" w:rsidR="002F63A6" w:rsidRPr="00E4115B" w:rsidRDefault="002F63A6"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a.  Piyasa işletmecisine ödenecek piyasa işletim ücretleri, </w:t>
      </w:r>
    </w:p>
    <w:p w14:paraId="1BBFF92A" w14:textId="77777777" w:rsidR="002F63A6" w:rsidRPr="00E4115B" w:rsidRDefault="002F63A6"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Fatura işlem borç tutarı, </w:t>
      </w:r>
    </w:p>
    <w:p w14:paraId="2EC68139" w14:textId="77777777" w:rsidR="002F63A6" w:rsidRPr="00E4115B" w:rsidRDefault="002F63A6" w:rsidP="00C63473">
      <w:pPr>
        <w:jc w:val="both"/>
        <w:rPr>
          <w:rFonts w:ascii="Times New Roman" w:hAnsi="Times New Roman" w:cs="Times New Roman"/>
          <w:sz w:val="24"/>
          <w:szCs w:val="24"/>
        </w:rPr>
      </w:pPr>
      <w:r w:rsidRPr="00E4115B">
        <w:rPr>
          <w:rFonts w:ascii="Times New Roman" w:hAnsi="Times New Roman" w:cs="Times New Roman"/>
          <w:sz w:val="24"/>
          <w:szCs w:val="24"/>
        </w:rPr>
        <w:t>c. VGP borç tutarı ve KDV borç tutarı,</w:t>
      </w:r>
    </w:p>
    <w:p w14:paraId="10582DB1" w14:textId="77777777" w:rsidR="002F63A6" w:rsidRPr="00E4115B" w:rsidRDefault="003D757E"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2F63A6" w:rsidRPr="00E4115B">
        <w:rPr>
          <w:rFonts w:ascii="Times New Roman" w:hAnsi="Times New Roman" w:cs="Times New Roman"/>
          <w:sz w:val="24"/>
          <w:szCs w:val="24"/>
        </w:rPr>
        <w:t xml:space="preserve">.  </w:t>
      </w:r>
      <w:r w:rsidRPr="00E4115B">
        <w:rPr>
          <w:rFonts w:ascii="Times New Roman" w:hAnsi="Times New Roman" w:cs="Times New Roman"/>
          <w:sz w:val="24"/>
          <w:szCs w:val="24"/>
        </w:rPr>
        <w:t>Fatura dengesizlik borç tutarı.</w:t>
      </w:r>
    </w:p>
    <w:p w14:paraId="21DDABCE" w14:textId="77777777" w:rsidR="002F63A6" w:rsidRPr="00E4115B" w:rsidRDefault="002F63A6" w:rsidP="003D757E">
      <w:pPr>
        <w:pStyle w:val="Balk3"/>
        <w:ind w:left="0" w:hanging="11"/>
        <w:rPr>
          <w:b w:val="0"/>
        </w:rPr>
      </w:pPr>
      <w:r w:rsidRPr="00E4115B">
        <w:rPr>
          <w:b w:val="0"/>
        </w:rPr>
        <w:t>Net alacak bedelleri, piyasa işletmecisi tarafından alacaklı piyasa katılımcılarına en geç fatura tebliğ tarihini takip eden beşinci iş günü, fatura tebliğ tarih ve sırasına göre, piyasa işletmecisi tarafından işletilen piyasalara ilişkin olarak piyasa katılımcısının süresinde ödenmemiş borçları düşülerek, piyasa işletmecisinin merkezi uzlaştırma kuruluşundaki hesabından, aracı bankalar kullanılarak ödenir.</w:t>
      </w:r>
    </w:p>
    <w:p w14:paraId="5014C2C5" w14:textId="77777777" w:rsidR="002F63A6" w:rsidRPr="00E4115B" w:rsidRDefault="002F63A6" w:rsidP="003D757E">
      <w:pPr>
        <w:pStyle w:val="Balk3"/>
        <w:ind w:left="0" w:hanging="11"/>
        <w:rPr>
          <w:b w:val="0"/>
        </w:rPr>
      </w:pPr>
      <w:r w:rsidRPr="00E4115B">
        <w:rPr>
          <w:b w:val="0"/>
        </w:rPr>
        <w:t xml:space="preserve">Piyasa katılımcıları, merkezi uzlaştırma kuruluşu tarafından kendilerine yapılacak fatura ödemelerine ilişkin olarak tek bir aracı banka ile çalışırlar, merkezi uzlaştırma kuruluşuna yapacakları ödemelere ilişkin olarak birden fazla banka ile çalışabilirler. Piyasa katılımcıları, merkezi uzlaştırma kuruluşu tarafından kendilerine yapılacak fatura ödemelerine ilişkin birlikte çalışacakları aracı bankayı merkezi uzlaştırma kuruluşuna yazılı olarak bildirir ve söz konusu bankayı değiştirmeleri durumunda, merkezi uzlaştırma kuruluşuna en kısa sürede sözleşmeleri de dikkate alarak bildirimde bulunurlar. </w:t>
      </w:r>
    </w:p>
    <w:p w14:paraId="4780DD9A" w14:textId="77777777" w:rsidR="002F63A6" w:rsidRPr="00E4115B" w:rsidRDefault="002F63A6" w:rsidP="003D757E">
      <w:pPr>
        <w:pStyle w:val="Balk3"/>
        <w:ind w:left="0" w:hanging="11"/>
        <w:rPr>
          <w:b w:val="0"/>
        </w:rPr>
      </w:pPr>
      <w:r w:rsidRPr="00E4115B">
        <w:rPr>
          <w:b w:val="0"/>
        </w:rPr>
        <w:t xml:space="preserve">Merkezi uzlaştırma kuruluşu ve aracı bankalar tarafından teminatlar ve fatura ödemelerine ilişkin olarak kullanılan bilgisayar, yazılım ya da teknolojik altyapının beklenmedik bir şekilde arızalanması ve bu Usul ve Esaslar hükümleri doğrultusunda tamamlanması gereken süreçlerin belirlenmiş olan süre zarfında tamamlanmayacağının ortaya çıkması durumunda, aracı banka merkezi uzlaştırma kuruluşunu, merkezi uzlaştırma kuruluşu piyasa işletmecisini ivedilikle bilgilendirir. Bu durumda, piyasa işletmecisi, süreçlerin tamamlanabilmesi için yeni süreler belirler ve bu değişikliklerle ilgili piyasa katılımcılarını bilgilendirir. </w:t>
      </w:r>
    </w:p>
    <w:p w14:paraId="35C23536" w14:textId="77777777" w:rsidR="002F63A6" w:rsidRPr="00E4115B" w:rsidRDefault="002F63A6" w:rsidP="003D757E">
      <w:pPr>
        <w:pStyle w:val="Balk3"/>
        <w:ind w:left="0" w:hanging="11"/>
        <w:rPr>
          <w:b w:val="0"/>
        </w:rPr>
      </w:pPr>
      <w:r w:rsidRPr="00E4115B">
        <w:rPr>
          <w:b w:val="0"/>
        </w:rPr>
        <w:lastRenderedPageBreak/>
        <w:t xml:space="preserve">15.3.6’da belirtilen sebeplerden ötürü merkezi uzlaştırma kuruluşu, aracı bankalar ve piyasa işletmecisinin teminat ve ödeme işlemlerine ilişkin olarak yükümlülüklerini yerine getirmemeleri durumunda taraflara uygulanacak yaptırımlar, ilgili taraflar arasında yapılan anlaşmalarda yer alır. </w:t>
      </w:r>
    </w:p>
    <w:p w14:paraId="76803167" w14:textId="77777777" w:rsidR="002F63A6" w:rsidRPr="00E4115B" w:rsidRDefault="002F63A6" w:rsidP="003D757E">
      <w:pPr>
        <w:pStyle w:val="Balk3"/>
        <w:ind w:left="0" w:hanging="11"/>
        <w:rPr>
          <w:b w:val="0"/>
        </w:rPr>
      </w:pPr>
      <w:r w:rsidRPr="00E4115B">
        <w:rPr>
          <w:b w:val="0"/>
        </w:rPr>
        <w:t>Merkezi uzlaştırma kuruluşu, sunmuş olduğu teminat yönetimi ve nakit takas hizmetine ilişkin olarak katılımcıların ödemesi gereken hizmet bedellerini aylık bazda piyasa katılımcılarına bildirir. Merkezi uzlaştırma kuruluşu tarafından piyasa katılımcılarına bildirilen hizmet bedelleri, bu bedelin tebliğ tarihini takip eden 3 (üç) iş günü içerisinde merkezi uzlaştırma kuruluşuna ödenir.</w:t>
      </w:r>
    </w:p>
    <w:p w14:paraId="2EF445FD" w14:textId="77777777" w:rsidR="002F63A6" w:rsidRPr="00E4115B" w:rsidRDefault="002F63A6" w:rsidP="004978FF">
      <w:pPr>
        <w:pStyle w:val="Balk2"/>
      </w:pPr>
      <w:bookmarkStart w:id="93" w:name="_Toc64755985"/>
      <w:r w:rsidRPr="00E4115B">
        <w:t>Fatura Ödemelerinin Yapılmaması</w:t>
      </w:r>
      <w:bookmarkEnd w:id="93"/>
    </w:p>
    <w:p w14:paraId="6C2DC144" w14:textId="55067B46" w:rsidR="002F63A6" w:rsidRPr="00E4115B" w:rsidRDefault="002F63A6" w:rsidP="004978FF">
      <w:pPr>
        <w:pStyle w:val="Balk3"/>
        <w:ind w:left="0" w:hanging="11"/>
        <w:rPr>
          <w:b w:val="0"/>
        </w:rPr>
      </w:pPr>
      <w:r w:rsidRPr="00E4115B">
        <w:rPr>
          <w:b w:val="0"/>
        </w:rPr>
        <w:t xml:space="preserve">Piyasa katılımcısının, söz konusu faturadan kaynaklanan borcunu, fatura tebliğ tarihini takip eden dört iş günü içerisinde ödememesi halinde, ödenmesi gereken tutara temerrüt faizi uygulanır. Temerrüt faizi oranı, </w:t>
      </w:r>
      <w:r w:rsidR="003A6B2B" w:rsidRPr="00681BF6">
        <w:rPr>
          <w:b w:val="0"/>
        </w:rPr>
        <w:t>6183 sayılı</w:t>
      </w:r>
      <w:r w:rsidR="003A6B2B" w:rsidRPr="003A6B2B">
        <w:rPr>
          <w:b w:val="0"/>
        </w:rPr>
        <w:t xml:space="preserve"> </w:t>
      </w:r>
      <w:r w:rsidRPr="00E4115B">
        <w:rPr>
          <w:b w:val="0"/>
        </w:rPr>
        <w:t>Amme Alacaklarının Tahsil Usulü Hakkında Kanunun 51 inci maddesine göre belirlenen faiz oranıdır. Merkezi uzlaştırma kuruluşu tarafından günlük olarak hesaplanan temerrüt faizi tutarlarının aylık toplamları faturaya esas değer olarak kabul edilir. Temerrüt faizine ilişkin bedeller ilgili ayın uzlaştırma bildiriminde gecikme zammı kalemi olarak belirtilir ve her ay sonu itibarıyla ilgili piyasa katılımcısının faturasına yansıtılır.</w:t>
      </w:r>
    </w:p>
    <w:p w14:paraId="325C3D0C" w14:textId="77777777" w:rsidR="002F63A6" w:rsidRPr="00E4115B" w:rsidRDefault="002F63A6" w:rsidP="004978FF">
      <w:pPr>
        <w:pStyle w:val="Balk3"/>
        <w:ind w:left="0" w:hanging="11"/>
        <w:rPr>
          <w:b w:val="0"/>
        </w:rPr>
      </w:pPr>
      <w:r w:rsidRPr="00E4115B">
        <w:rPr>
          <w:b w:val="0"/>
        </w:rPr>
        <w:t>Piyasa katılımcısının, serbest cari hesabında bulunan TL nakit tutarın, sunması gereken toplam teminat tutarının üzerinde TL nakit teminat fazlasının ve/veya temerrüt garanti hesabı katkı payı TL nakit fazlasının ilgili fatura bildirimine ilişkin piyasa katılımcısının borcunu karşılayacak seviyede olması durumunda, piyasa katılımcısının borcu, serbest cari hesabında bulunan TL nakit tutardan ve/veya sunması gereken toplam teminat tutarının üzerindeki TL nakit teminattan ve/veya temerrüt garanti hesabı katkı payının TL nakit fazlasından otomatik olarak karşılanır ve piyasa katılımcısı fatura temerrüdüne düşmez.</w:t>
      </w:r>
    </w:p>
    <w:p w14:paraId="179ECC34" w14:textId="64180E35" w:rsidR="002F63A6" w:rsidRPr="00E4115B" w:rsidRDefault="002F63A6" w:rsidP="004978FF">
      <w:pPr>
        <w:pStyle w:val="Balk3"/>
        <w:ind w:left="0" w:hanging="11"/>
        <w:rPr>
          <w:b w:val="0"/>
        </w:rPr>
      </w:pPr>
      <w:r w:rsidRPr="00E4115B">
        <w:rPr>
          <w:b w:val="0"/>
        </w:rPr>
        <w:t xml:space="preserve">Piyasa işletmecisinin piyasa katılımcılarına ödeme yapacağı fatura bedelini, fatura tebliğ tarihini takip eden beş iş günü içerisinde ödememesi halinde, ödenmesi gereken tutara temerrüt faizi uygulanır. Temerrüt faizi oranı, </w:t>
      </w:r>
      <w:r w:rsidR="003A6B2B" w:rsidRPr="00681BF6">
        <w:rPr>
          <w:b w:val="0"/>
        </w:rPr>
        <w:t>6183 sayılı</w:t>
      </w:r>
      <w:r w:rsidR="003A6B2B" w:rsidRPr="00681BF6">
        <w:t xml:space="preserve"> </w:t>
      </w:r>
      <w:r w:rsidRPr="00E4115B">
        <w:rPr>
          <w:b w:val="0"/>
        </w:rPr>
        <w:t>Amme Alacaklarının Tahsil Usulü Hakkında Kanunun 51 inci maddesine göre belirlenen faiz oranıdır. Temerrüt faizine ilişkin bedeller ilgili ayın uzlaştırma bildiriminde gecikme zammı kalemi olarak belirtilir ve her ay sonu itibariyle piyasa işletmecisine düzenlenen faturaya yansıtılır.</w:t>
      </w:r>
    </w:p>
    <w:p w14:paraId="420CAE5F" w14:textId="77777777" w:rsidR="002F63A6" w:rsidRPr="00E4115B" w:rsidRDefault="002F63A6" w:rsidP="004978FF">
      <w:pPr>
        <w:pStyle w:val="Balk3"/>
        <w:ind w:left="0" w:hanging="11"/>
        <w:rPr>
          <w:b w:val="0"/>
        </w:rPr>
      </w:pPr>
      <w:r w:rsidRPr="00E4115B">
        <w:rPr>
          <w:b w:val="0"/>
        </w:rPr>
        <w:t>Piyasa katılımcısının, söz konusu fatura bedelini, fatura tebliğ tarihini takip eden dört iş günü içerisinde ödememesi durumunda, piyasa katılımcısının ayrıca bir ihtara gerek olmaksızın fatura temerrüdüne düştüğü kabul edilir. Fatura temerrüdü halindeki piyasa katılımcısının piyasa işletmecisinin işlettiği tüm doğal gaz piyasalarındaki faaliyetleri askıya alınır. Ayrıca ŞİD hükümleri doğrultusunda ilgili piyasa katılımcısı hakkında işlem yapılması için piyasa işletmecisi tarafından iletim şirketine ve ilgili taraflara bildirim yapılır. Fatura temerrüdüne düşen piyasa katılımcısına ilişkin olarak, yasal yollar saklı kalmak üzere fatura borcunun tahsil edilmesi amacıyla sırasıyla:</w:t>
      </w:r>
    </w:p>
    <w:p w14:paraId="7B8A5749" w14:textId="77777777" w:rsidR="002F63A6" w:rsidRPr="00E4115B" w:rsidRDefault="002F63A6" w:rsidP="00C63473">
      <w:pPr>
        <w:jc w:val="both"/>
        <w:rPr>
          <w:rFonts w:ascii="Times New Roman" w:hAnsi="Times New Roman" w:cs="Times New Roman"/>
          <w:sz w:val="24"/>
          <w:szCs w:val="24"/>
        </w:rPr>
      </w:pPr>
      <w:r w:rsidRPr="00E4115B">
        <w:rPr>
          <w:rFonts w:ascii="Times New Roman" w:hAnsi="Times New Roman" w:cs="Times New Roman"/>
          <w:sz w:val="24"/>
          <w:szCs w:val="24"/>
        </w:rPr>
        <w:t>a. Cari hesabında bulunan tutara, bu Usul ve Esaslar kapsamında sunması gereken toplam VGP teminat tutarının üzerinde olan tutara ve sunması gereken temerrüt garanti hesabı katkı payı tutarının üzerinde olan tutara,</w:t>
      </w:r>
    </w:p>
    <w:p w14:paraId="0543977D" w14:textId="77777777" w:rsidR="002F63A6" w:rsidRPr="00E4115B" w:rsidRDefault="002F63A6" w:rsidP="00C63473">
      <w:pPr>
        <w:jc w:val="both"/>
        <w:rPr>
          <w:rFonts w:ascii="Times New Roman" w:hAnsi="Times New Roman" w:cs="Times New Roman"/>
          <w:sz w:val="24"/>
          <w:szCs w:val="24"/>
        </w:rPr>
      </w:pPr>
      <w:r w:rsidRPr="00E4115B">
        <w:rPr>
          <w:rFonts w:ascii="Times New Roman" w:hAnsi="Times New Roman" w:cs="Times New Roman"/>
          <w:sz w:val="24"/>
          <w:szCs w:val="24"/>
        </w:rPr>
        <w:t>b. Bu Usul ve Esaslar uyarınca sunmuş olduğu toplam teminat tutarına,</w:t>
      </w:r>
    </w:p>
    <w:p w14:paraId="0D175594" w14:textId="77777777" w:rsidR="002F63A6" w:rsidRPr="00E4115B" w:rsidRDefault="002F63A6"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 xml:space="preserve">c. Temerrüde düşen piyasa katılımcısının PUE kapsamında sunması gereken teminatlarının üzerinde olan nakit teminat tutarına, </w:t>
      </w:r>
    </w:p>
    <w:p w14:paraId="533AC6F6" w14:textId="77777777" w:rsidR="002F63A6" w:rsidRPr="00E4115B" w:rsidRDefault="004978FF" w:rsidP="00C63473">
      <w:pPr>
        <w:jc w:val="both"/>
        <w:rPr>
          <w:rFonts w:ascii="Times New Roman" w:hAnsi="Times New Roman" w:cs="Times New Roman"/>
          <w:sz w:val="24"/>
          <w:szCs w:val="24"/>
        </w:rPr>
      </w:pPr>
      <w:r w:rsidRPr="00E4115B">
        <w:rPr>
          <w:rFonts w:ascii="Times New Roman" w:hAnsi="Times New Roman" w:cs="Times New Roman"/>
          <w:sz w:val="24"/>
          <w:szCs w:val="24"/>
        </w:rPr>
        <w:t>ç</w:t>
      </w:r>
      <w:r w:rsidR="002F63A6" w:rsidRPr="00E4115B">
        <w:rPr>
          <w:rFonts w:ascii="Times New Roman" w:hAnsi="Times New Roman" w:cs="Times New Roman"/>
          <w:sz w:val="24"/>
          <w:szCs w:val="24"/>
        </w:rPr>
        <w:t>. Temerrüde düşen piyasa katılımcılarının PUE kapsamında varsa avans alacağı tutarına,</w:t>
      </w:r>
    </w:p>
    <w:p w14:paraId="10EFAE0D" w14:textId="77777777" w:rsidR="002F63A6" w:rsidRPr="00E4115B" w:rsidRDefault="004978FF" w:rsidP="00C63473">
      <w:pPr>
        <w:jc w:val="both"/>
        <w:rPr>
          <w:rFonts w:ascii="Times New Roman" w:hAnsi="Times New Roman" w:cs="Times New Roman"/>
          <w:sz w:val="24"/>
          <w:szCs w:val="24"/>
        </w:rPr>
      </w:pPr>
      <w:r w:rsidRPr="00E4115B">
        <w:rPr>
          <w:rFonts w:ascii="Times New Roman" w:hAnsi="Times New Roman" w:cs="Times New Roman"/>
          <w:sz w:val="24"/>
          <w:szCs w:val="24"/>
        </w:rPr>
        <w:t>d</w:t>
      </w:r>
      <w:r w:rsidR="002F63A6" w:rsidRPr="00E4115B">
        <w:rPr>
          <w:rFonts w:ascii="Times New Roman" w:hAnsi="Times New Roman" w:cs="Times New Roman"/>
          <w:sz w:val="24"/>
          <w:szCs w:val="24"/>
        </w:rPr>
        <w:t>.  Temerrüde düşen piyasa katılımcısının temerrüt garanti hesabı katkı payı tutarına,</w:t>
      </w:r>
    </w:p>
    <w:p w14:paraId="55F4E4AA" w14:textId="77777777" w:rsidR="002F63A6" w:rsidRPr="00E4115B" w:rsidRDefault="004978FF" w:rsidP="00C63473">
      <w:pPr>
        <w:jc w:val="both"/>
        <w:rPr>
          <w:rFonts w:ascii="Times New Roman" w:hAnsi="Times New Roman" w:cs="Times New Roman"/>
          <w:sz w:val="24"/>
          <w:szCs w:val="24"/>
        </w:rPr>
      </w:pPr>
      <w:r w:rsidRPr="00E4115B">
        <w:rPr>
          <w:rFonts w:ascii="Times New Roman" w:hAnsi="Times New Roman" w:cs="Times New Roman"/>
          <w:sz w:val="24"/>
          <w:szCs w:val="24"/>
        </w:rPr>
        <w:t>e</w:t>
      </w:r>
      <w:r w:rsidR="002F63A6" w:rsidRPr="00E4115B">
        <w:rPr>
          <w:rFonts w:ascii="Times New Roman" w:hAnsi="Times New Roman" w:cs="Times New Roman"/>
          <w:sz w:val="24"/>
          <w:szCs w:val="24"/>
        </w:rPr>
        <w:t>.   Piyasa işletmecisinin temerrüt yönetimi katkısı tutarına,</w:t>
      </w:r>
    </w:p>
    <w:p w14:paraId="2EF53396" w14:textId="77777777" w:rsidR="002F63A6" w:rsidRPr="00E4115B" w:rsidRDefault="004978FF" w:rsidP="00C63473">
      <w:pPr>
        <w:jc w:val="both"/>
        <w:rPr>
          <w:rFonts w:ascii="Times New Roman" w:hAnsi="Times New Roman" w:cs="Times New Roman"/>
          <w:sz w:val="24"/>
          <w:szCs w:val="24"/>
        </w:rPr>
      </w:pPr>
      <w:r w:rsidRPr="00E4115B">
        <w:rPr>
          <w:rFonts w:ascii="Times New Roman" w:hAnsi="Times New Roman" w:cs="Times New Roman"/>
          <w:sz w:val="24"/>
          <w:szCs w:val="24"/>
        </w:rPr>
        <w:t>f</w:t>
      </w:r>
      <w:r w:rsidR="002F63A6" w:rsidRPr="00E4115B">
        <w:rPr>
          <w:rFonts w:ascii="Times New Roman" w:hAnsi="Times New Roman" w:cs="Times New Roman"/>
          <w:sz w:val="24"/>
          <w:szCs w:val="24"/>
        </w:rPr>
        <w:t>. Diğer piyasa katılımcılarının temerrüt garanti hesabı katkı payları tutarına,</w:t>
      </w:r>
    </w:p>
    <w:p w14:paraId="0FC8D591" w14:textId="77777777" w:rsidR="002F63A6" w:rsidRPr="00E4115B" w:rsidRDefault="004978FF" w:rsidP="00C63473">
      <w:pPr>
        <w:jc w:val="both"/>
        <w:rPr>
          <w:rFonts w:ascii="Times New Roman" w:hAnsi="Times New Roman" w:cs="Times New Roman"/>
          <w:sz w:val="24"/>
          <w:szCs w:val="24"/>
        </w:rPr>
      </w:pPr>
      <w:r w:rsidRPr="00E4115B">
        <w:rPr>
          <w:rFonts w:ascii="Times New Roman" w:hAnsi="Times New Roman" w:cs="Times New Roman"/>
          <w:sz w:val="24"/>
          <w:szCs w:val="24"/>
        </w:rPr>
        <w:t>g</w:t>
      </w:r>
      <w:r w:rsidR="002F63A6" w:rsidRPr="00E4115B">
        <w:rPr>
          <w:rFonts w:ascii="Times New Roman" w:hAnsi="Times New Roman" w:cs="Times New Roman"/>
          <w:sz w:val="24"/>
          <w:szCs w:val="24"/>
        </w:rPr>
        <w:t>.  PUE kapsamında sunmuş olduğu teminat tutarına,</w:t>
      </w:r>
    </w:p>
    <w:p w14:paraId="26B5C783" w14:textId="77777777" w:rsidR="002F63A6" w:rsidRPr="00E4115B" w:rsidRDefault="004978FF" w:rsidP="00C63473">
      <w:pPr>
        <w:jc w:val="both"/>
        <w:rPr>
          <w:rFonts w:ascii="Times New Roman" w:hAnsi="Times New Roman" w:cs="Times New Roman"/>
          <w:sz w:val="24"/>
          <w:szCs w:val="24"/>
        </w:rPr>
      </w:pPr>
      <w:r w:rsidRPr="00E4115B">
        <w:rPr>
          <w:rFonts w:ascii="Times New Roman" w:hAnsi="Times New Roman" w:cs="Times New Roman"/>
          <w:sz w:val="24"/>
          <w:szCs w:val="24"/>
        </w:rPr>
        <w:t>ğ</w:t>
      </w:r>
      <w:r w:rsidR="002F63A6" w:rsidRPr="00E4115B">
        <w:rPr>
          <w:rFonts w:ascii="Times New Roman" w:hAnsi="Times New Roman" w:cs="Times New Roman"/>
          <w:sz w:val="24"/>
          <w:szCs w:val="24"/>
        </w:rPr>
        <w:t>. Temerrüt garanti hesabı tamamlama çağrısı ile tekrar toplanan katkı payları tutarına</w:t>
      </w:r>
    </w:p>
    <w:p w14:paraId="26B3AA08" w14:textId="77777777" w:rsidR="002F63A6" w:rsidRPr="00E4115B" w:rsidRDefault="002F63A6" w:rsidP="00C63473">
      <w:pPr>
        <w:jc w:val="both"/>
        <w:rPr>
          <w:rFonts w:ascii="Times New Roman" w:hAnsi="Times New Roman" w:cs="Times New Roman"/>
          <w:sz w:val="24"/>
          <w:szCs w:val="24"/>
        </w:rPr>
      </w:pPr>
      <w:r w:rsidRPr="00E4115B">
        <w:rPr>
          <w:rFonts w:ascii="Times New Roman" w:hAnsi="Times New Roman" w:cs="Times New Roman"/>
          <w:sz w:val="24"/>
          <w:szCs w:val="24"/>
        </w:rPr>
        <w:t>başvurulur.</w:t>
      </w:r>
    </w:p>
    <w:p w14:paraId="558ECCA5" w14:textId="77777777" w:rsidR="002F63A6" w:rsidRPr="00E4115B" w:rsidRDefault="002F63A6" w:rsidP="004978FF">
      <w:pPr>
        <w:pStyle w:val="Balk3"/>
        <w:ind w:left="0" w:hanging="11"/>
        <w:rPr>
          <w:b w:val="0"/>
        </w:rPr>
      </w:pPr>
      <w:r w:rsidRPr="00E4115B">
        <w:rPr>
          <w:b w:val="0"/>
        </w:rPr>
        <w:t>Ödemeler ve teminatlara ilişkin yükümlülüklerin bu Usul ve Esaslarda belirtilen süreler içinde piyasa işletmecisi ve merkezi uzlaştırma kuruluşu tarafından kullanılan bilgisayar, yazılım ya da teknolojik altyapının beklenmedik bir şekilde arızalanması ve merkezi uzlaştırma kuruluşu ile ilgili olan arızaların piyasa işletmecisine geçerli sebeplerle raporlanması halinde, piyasa işletmecisi ve piyasa katılımcısına temerrüt faizi uygulanmaz.</w:t>
      </w:r>
    </w:p>
    <w:p w14:paraId="5D654EE6" w14:textId="7C368AB9" w:rsidR="00101861" w:rsidRPr="00BE1C65" w:rsidRDefault="002F63A6" w:rsidP="00C63473">
      <w:pPr>
        <w:pStyle w:val="Balk3"/>
        <w:ind w:left="0" w:hanging="11"/>
        <w:rPr>
          <w:b w:val="0"/>
        </w:rPr>
      </w:pPr>
      <w:r w:rsidRPr="00E4115B">
        <w:rPr>
          <w:b w:val="0"/>
        </w:rPr>
        <w:t>Piyasa katılımcılarına uygulanacak asgari temerrüt matrahı ve temerrüt faizi piyasa işletmecisi tarafından STP aracılığıyla duyurulur. Asgari temerrüt matrahının altındaki tutarlara temerrüt faizi uygulanmaz.</w:t>
      </w:r>
    </w:p>
    <w:p w14:paraId="1290B7A8" w14:textId="77777777" w:rsidR="002F63A6" w:rsidRPr="00E4115B" w:rsidRDefault="002F63A6" w:rsidP="004A35D9">
      <w:pPr>
        <w:pStyle w:val="Balk1"/>
      </w:pPr>
      <w:bookmarkStart w:id="94" w:name="_Toc64755986"/>
      <w:r w:rsidRPr="00E4115B">
        <w:t>TEMERRÜT GARANTİ HESABI</w:t>
      </w:r>
      <w:bookmarkEnd w:id="94"/>
    </w:p>
    <w:p w14:paraId="54E2634C" w14:textId="77777777" w:rsidR="002F63A6" w:rsidRPr="00E4115B" w:rsidRDefault="002F63A6" w:rsidP="004978FF">
      <w:pPr>
        <w:pStyle w:val="Balk2"/>
      </w:pPr>
      <w:bookmarkStart w:id="95" w:name="_Toc64755987"/>
      <w:bookmarkStart w:id="96" w:name="_Toc64755988"/>
      <w:bookmarkEnd w:id="95"/>
      <w:r w:rsidRPr="00E4115B">
        <w:t>Temerrüt Garanti Hesabı</w:t>
      </w:r>
      <w:bookmarkEnd w:id="96"/>
    </w:p>
    <w:p w14:paraId="0C084E74" w14:textId="77777777" w:rsidR="002F63A6" w:rsidRPr="00E4115B" w:rsidRDefault="002F63A6" w:rsidP="004978FF">
      <w:pPr>
        <w:pStyle w:val="Balk3"/>
        <w:ind w:left="0" w:hanging="11"/>
        <w:rPr>
          <w:b w:val="0"/>
        </w:rPr>
      </w:pPr>
      <w:r w:rsidRPr="00E4115B">
        <w:rPr>
          <w:b w:val="0"/>
        </w:rPr>
        <w:t xml:space="preserve">Vadeli doğal gaz piyasasında katılımcıların temerrüde düşmesi halinde oluşabilecek zararların ilgili katılımcıların teminatlarını aşan kısmı için kullanılmak üzere katılımcıların katkı payları ile oluşturulan bir temerrüt garanti hesabı kurulur. </w:t>
      </w:r>
    </w:p>
    <w:p w14:paraId="35B66493" w14:textId="77777777" w:rsidR="002F63A6" w:rsidRPr="00E4115B" w:rsidRDefault="002F63A6" w:rsidP="004978FF">
      <w:pPr>
        <w:pStyle w:val="Balk3"/>
        <w:ind w:left="0" w:hanging="11"/>
        <w:rPr>
          <w:b w:val="0"/>
        </w:rPr>
      </w:pPr>
      <w:r w:rsidRPr="00E4115B">
        <w:rPr>
          <w:b w:val="0"/>
        </w:rPr>
        <w:t>Katılımcıların temerrüt garanti hesabına katılımı zorunludur.</w:t>
      </w:r>
    </w:p>
    <w:p w14:paraId="313D2A3A" w14:textId="77777777" w:rsidR="002F63A6" w:rsidRPr="00E4115B" w:rsidRDefault="002F63A6" w:rsidP="004978FF">
      <w:pPr>
        <w:pStyle w:val="Balk3"/>
        <w:ind w:left="0" w:hanging="11"/>
        <w:rPr>
          <w:b w:val="0"/>
        </w:rPr>
      </w:pPr>
      <w:r w:rsidRPr="00E4115B">
        <w:rPr>
          <w:b w:val="0"/>
        </w:rPr>
        <w:t xml:space="preserve">Katılımcıların temerrüt garanti hesabı katkı payları, yatırılmış ve talep edilmesi halinde yatırılacak ilave temerrüt garanti hesabı katkı paylarından oluşur. </w:t>
      </w:r>
    </w:p>
    <w:p w14:paraId="1289D036" w14:textId="77777777" w:rsidR="002F63A6" w:rsidRPr="00E4115B" w:rsidRDefault="002F63A6" w:rsidP="004978FF">
      <w:pPr>
        <w:pStyle w:val="Balk3"/>
        <w:ind w:left="0" w:hanging="11"/>
        <w:rPr>
          <w:b w:val="0"/>
        </w:rPr>
      </w:pPr>
      <w:r w:rsidRPr="00E4115B">
        <w:rPr>
          <w:b w:val="0"/>
        </w:rPr>
        <w:t>Temerrüt garanti hesabının, bu Usul ve Esaslar hükümleri çerçevesinde kullanılması durumunda, katılımcıların yatırılmış temerrüt garanti hesabı katkı payı tutarını geçmemek üzere ilave katkı payı yatırmaları istenebilir.</w:t>
      </w:r>
    </w:p>
    <w:p w14:paraId="4C0552A0" w14:textId="77777777" w:rsidR="002F63A6" w:rsidRPr="00E4115B" w:rsidRDefault="002F63A6" w:rsidP="004978FF">
      <w:pPr>
        <w:pStyle w:val="Balk3"/>
        <w:ind w:left="0" w:hanging="11"/>
        <w:rPr>
          <w:b w:val="0"/>
        </w:rPr>
      </w:pPr>
      <w:r w:rsidRPr="00E4115B">
        <w:rPr>
          <w:b w:val="0"/>
        </w:rPr>
        <w:t xml:space="preserve">İlave temerrüt garanti hesabı katkı payı tutarı, bir kez yatırılmış tutarın tamamı olarak veya dilimler halinde birden çok kez talep edilebilir. </w:t>
      </w:r>
    </w:p>
    <w:p w14:paraId="033FA802" w14:textId="77777777" w:rsidR="002F63A6" w:rsidRPr="00E4115B" w:rsidRDefault="002F63A6" w:rsidP="004978FF">
      <w:pPr>
        <w:pStyle w:val="Balk3"/>
        <w:ind w:left="0" w:hanging="11"/>
        <w:rPr>
          <w:b w:val="0"/>
        </w:rPr>
      </w:pPr>
      <w:r w:rsidRPr="00E4115B">
        <w:rPr>
          <w:b w:val="0"/>
        </w:rPr>
        <w:t xml:space="preserve">Herhangi bir katılımcının temerrüde düşmesi halinde, madde 13.2.4 ve 15.4.4’te belirtilen sıralama gözetilmeden diğer katılımcıların temerrüt garanti hesabı katkı paylarına başvurulamaz. </w:t>
      </w:r>
    </w:p>
    <w:p w14:paraId="3C1D0D13" w14:textId="77777777" w:rsidR="002F63A6" w:rsidRPr="00E4115B" w:rsidRDefault="002F63A6" w:rsidP="004978FF">
      <w:pPr>
        <w:pStyle w:val="Balk3"/>
        <w:ind w:left="0" w:hanging="11"/>
        <w:rPr>
          <w:b w:val="0"/>
        </w:rPr>
      </w:pPr>
      <w:r w:rsidRPr="00E4115B">
        <w:rPr>
          <w:b w:val="0"/>
        </w:rPr>
        <w:t xml:space="preserve">Katılım statüsünün pasife alınması halinde madde 16.5 hükümleri çerçevesinde ilgili katılımcının temerrüt garanti hesabı katkı payı geri ödenir. </w:t>
      </w:r>
    </w:p>
    <w:p w14:paraId="418B5C29" w14:textId="77777777" w:rsidR="002F63A6" w:rsidRPr="00E4115B" w:rsidRDefault="002F63A6" w:rsidP="004978FF">
      <w:pPr>
        <w:pStyle w:val="Balk3"/>
        <w:ind w:left="0" w:hanging="11"/>
        <w:rPr>
          <w:b w:val="0"/>
        </w:rPr>
      </w:pPr>
      <w:r w:rsidRPr="00E4115B">
        <w:rPr>
          <w:b w:val="0"/>
        </w:rPr>
        <w:t xml:space="preserve">Temerrüt garanti hesabındaki varlıklar amacı dışında kullanılamaz. </w:t>
      </w:r>
    </w:p>
    <w:p w14:paraId="1A5B5B9A" w14:textId="77777777" w:rsidR="002F63A6" w:rsidRPr="00E4115B" w:rsidRDefault="002F63A6" w:rsidP="004978FF">
      <w:pPr>
        <w:pStyle w:val="Balk3"/>
        <w:ind w:left="0" w:hanging="11"/>
        <w:rPr>
          <w:b w:val="0"/>
        </w:rPr>
      </w:pPr>
      <w:r w:rsidRPr="00E4115B">
        <w:rPr>
          <w:b w:val="0"/>
        </w:rPr>
        <w:lastRenderedPageBreak/>
        <w:t>Temerrüt garanti hesabı, piyasa işletmecisi tarafından temsil ve idare edilir.</w:t>
      </w:r>
    </w:p>
    <w:p w14:paraId="501C9892" w14:textId="77777777" w:rsidR="002F63A6" w:rsidRPr="00E4115B" w:rsidRDefault="002F63A6" w:rsidP="004978FF">
      <w:pPr>
        <w:pStyle w:val="Balk2"/>
      </w:pPr>
      <w:bookmarkStart w:id="97" w:name="_Toc64755989"/>
      <w:r w:rsidRPr="00E4115B">
        <w:t>Temerrüt Garanti Hesabının Büyüklüğü ve Katılımcıların Katkı Payı Miktarı</w:t>
      </w:r>
      <w:bookmarkEnd w:id="97"/>
      <w:r w:rsidRPr="00E4115B">
        <w:t xml:space="preserve"> </w:t>
      </w:r>
    </w:p>
    <w:p w14:paraId="7415E84F" w14:textId="77777777" w:rsidR="002F63A6" w:rsidRPr="00E4115B" w:rsidRDefault="002F63A6" w:rsidP="004978FF">
      <w:pPr>
        <w:pStyle w:val="Balk3"/>
        <w:ind w:left="0" w:hanging="11"/>
        <w:rPr>
          <w:b w:val="0"/>
        </w:rPr>
      </w:pPr>
      <w:r w:rsidRPr="00E4115B">
        <w:rPr>
          <w:b w:val="0"/>
        </w:rPr>
        <w:t xml:space="preserve">Temerrüt garanti hesabının büyüklüğü, son 180 işlem günündeki en büyük ikinci açık pozisyona sahip olan katılımcının temerrüdü halinde ilgili pozisyon büyüklüğünün %5’inden az olamaz. </w:t>
      </w:r>
    </w:p>
    <w:p w14:paraId="077E25A6" w14:textId="77777777" w:rsidR="002F63A6" w:rsidRPr="00E4115B" w:rsidRDefault="002F63A6" w:rsidP="004978FF">
      <w:pPr>
        <w:pStyle w:val="Balk3"/>
        <w:ind w:left="0" w:hanging="11"/>
        <w:rPr>
          <w:b w:val="0"/>
        </w:rPr>
      </w:pPr>
      <w:r w:rsidRPr="00E4115B">
        <w:rPr>
          <w:b w:val="0"/>
        </w:rPr>
        <w:t xml:space="preserve">Kaynak ihtiyacı, katılımcıların, risklerinin toplam teminatları ile karşılanabilen kısmı dışında kalan bölümünden oluşur. Piyasa işletmecisi, asgari temerrüt garanti hesabı yükümlülüğünü, 14.2.1’de hesaplanan yükümlülükten daha yüksek belirleyebilir. </w:t>
      </w:r>
    </w:p>
    <w:p w14:paraId="0D770A07" w14:textId="77777777" w:rsidR="002F63A6" w:rsidRPr="00E4115B" w:rsidRDefault="002F63A6" w:rsidP="004978FF">
      <w:pPr>
        <w:pStyle w:val="Balk3"/>
        <w:ind w:left="0" w:hanging="11"/>
        <w:rPr>
          <w:b w:val="0"/>
        </w:rPr>
      </w:pPr>
      <w:r w:rsidRPr="00E4115B">
        <w:rPr>
          <w:b w:val="0"/>
        </w:rPr>
        <w:t xml:space="preserve">Temerrüt garanti hesabı büyüklüğü günlük olarak hesaplanır, en az ayda bir güncellenir. Piyasa İşletmecisi, gerek görmesi halinde günlük hesaplanan büyüklük üzerinden temerrüt garanti hesabı katkı payı tutarlarını güncelleyebilir. </w:t>
      </w:r>
    </w:p>
    <w:p w14:paraId="2AC87547" w14:textId="77777777" w:rsidR="002F63A6" w:rsidRPr="00E4115B" w:rsidRDefault="002F63A6" w:rsidP="004978FF">
      <w:pPr>
        <w:pStyle w:val="Balk3"/>
        <w:ind w:left="0" w:hanging="11"/>
        <w:rPr>
          <w:b w:val="0"/>
        </w:rPr>
      </w:pPr>
      <w:r w:rsidRPr="00E4115B">
        <w:rPr>
          <w:b w:val="0"/>
        </w:rPr>
        <w:t xml:space="preserve">Katılımcıların temerrüt garanti hesabına yapacakları katkı, sabit ve değişken katkı paylarından oluşur. Sabit katkı payları kayıt esnasında, değişken katkı payları temerrüt garanti hesabı katkı payı tamamlama çağrısını müteakip üç iş günü içerisinde merkezi uzlaştırma kuruluşu hesaplarına yatırılır. </w:t>
      </w:r>
    </w:p>
    <w:p w14:paraId="6747EA40" w14:textId="77777777" w:rsidR="002F63A6" w:rsidRPr="00E4115B" w:rsidRDefault="002F63A6" w:rsidP="004978FF">
      <w:pPr>
        <w:pStyle w:val="Balk3"/>
        <w:ind w:left="0" w:hanging="11"/>
        <w:rPr>
          <w:b w:val="0"/>
        </w:rPr>
      </w:pPr>
      <w:r w:rsidRPr="00E4115B">
        <w:rPr>
          <w:b w:val="0"/>
        </w:rPr>
        <w:t xml:space="preserve">Bir katılımcının yatırılmış temerrüt garanti hesabı katkı payı, sabit katkı payı tutarından az olamaz. Katılımcıların yatırmaları gereken sabit katkı payı tutarları 100.000 TL’dir. Bu tutar piyasa koşulları göz önünde bulundurularak piyasa işletmecisi tarafından güncellenebilir. </w:t>
      </w:r>
    </w:p>
    <w:p w14:paraId="4CF281B3" w14:textId="77777777" w:rsidR="002F63A6" w:rsidRPr="00E4115B" w:rsidRDefault="002F63A6" w:rsidP="004978FF">
      <w:pPr>
        <w:pStyle w:val="Balk3"/>
        <w:ind w:left="0" w:hanging="11"/>
        <w:rPr>
          <w:b w:val="0"/>
        </w:rPr>
      </w:pPr>
      <w:r w:rsidRPr="00E4115B">
        <w:rPr>
          <w:b w:val="0"/>
        </w:rPr>
        <w:t xml:space="preserve">Değişken katkı payı, piyasa işletmecisi tarafından hesaplama tarihinden önceki 180 günde gün sonu işlemleri kapsamında hesaplanan, katılımcının piyasada bulundurması gereken teminat tutarları toplamının, piyasadaki tüm katılımcıların ilgili dönemdeki söz konusu toplam teminat tutarına bölünmesi suretiyle hesaplanan oranın, ilgili döneme isabet eden asgari temerrüt garanti hesabı büyüklüğü ile çarpılması suretiyle bulunur. Tespit edilen büyüklükler STP aracılığıyla duyurulur. </w:t>
      </w:r>
    </w:p>
    <w:p w14:paraId="0E6691D0" w14:textId="77777777" w:rsidR="002F63A6" w:rsidRPr="00E4115B" w:rsidRDefault="002F63A6" w:rsidP="004978FF">
      <w:pPr>
        <w:pStyle w:val="Balk3"/>
        <w:ind w:left="0" w:hanging="11"/>
        <w:rPr>
          <w:b w:val="0"/>
        </w:rPr>
      </w:pPr>
      <w:r w:rsidRPr="00E4115B">
        <w:rPr>
          <w:b w:val="0"/>
        </w:rPr>
        <w:t>Pozisyon limiti artış talebi doğrultusunda ilave katkı payı sunmuş olan bir piyasa katılımcısı, temerrüt garanti hesabının güncellenmesi sonrasında değişken ve sabit temerrüt garanti hesabı katkı paylarına ilave olarak söz konusu ilave katkı payı tutarını da sunmaya devam eder.</w:t>
      </w:r>
    </w:p>
    <w:p w14:paraId="0FF48D9D" w14:textId="77777777" w:rsidR="002F63A6" w:rsidRPr="00E4115B" w:rsidRDefault="002F63A6" w:rsidP="004978FF">
      <w:pPr>
        <w:pStyle w:val="Balk3"/>
        <w:ind w:left="0" w:hanging="11"/>
        <w:rPr>
          <w:b w:val="0"/>
        </w:rPr>
      </w:pPr>
      <w:r w:rsidRPr="00E4115B">
        <w:rPr>
          <w:b w:val="0"/>
        </w:rPr>
        <w:t>Temerrüt garanti hesabı katkı payı yükümlülükleri her ayın en geç son iş günü itibarıyla hesaplanır ve</w:t>
      </w:r>
      <w:r w:rsidR="004978FF" w:rsidRPr="00E4115B">
        <w:rPr>
          <w:b w:val="0"/>
        </w:rPr>
        <w:t xml:space="preserve"> güncellenir.</w:t>
      </w:r>
    </w:p>
    <w:p w14:paraId="33E98A97" w14:textId="77777777" w:rsidR="004978FF" w:rsidRPr="00E4115B" w:rsidRDefault="002F63A6" w:rsidP="004978FF">
      <w:pPr>
        <w:pStyle w:val="Balk3"/>
        <w:ind w:left="0" w:hanging="11"/>
        <w:rPr>
          <w:b w:val="0"/>
        </w:rPr>
      </w:pPr>
      <w:r w:rsidRPr="00E4115B">
        <w:rPr>
          <w:b w:val="0"/>
        </w:rPr>
        <w:t>Katılımcıların temerrüt garanti hesabı katkı payı hesaplamaları ilgili katılımcıların risk durumu ve piyasa koşulları gözetilerek piyasa işletmecisi tarafından ayın ilk iş günü beklenmeden yapılabilir.</w:t>
      </w:r>
    </w:p>
    <w:p w14:paraId="2176926E" w14:textId="77777777" w:rsidR="002F63A6" w:rsidRPr="00E4115B" w:rsidRDefault="002F63A6" w:rsidP="004978FF">
      <w:pPr>
        <w:pStyle w:val="Balk3"/>
        <w:ind w:left="0" w:hanging="11"/>
        <w:rPr>
          <w:b w:val="0"/>
        </w:rPr>
      </w:pPr>
      <w:r w:rsidRPr="00E4115B">
        <w:rPr>
          <w:b w:val="0"/>
        </w:rPr>
        <w:t xml:space="preserve">Piyasa İşletmecisi tarafından her seans başlangıcından 30 dakika önce, piyasa katılımcısı bazında sunulması gereken temerrüt garanti hesabı katkı payı tutarlarının yeterliliği kontrol edilir. </w:t>
      </w:r>
    </w:p>
    <w:p w14:paraId="5CDC5C0D" w14:textId="77777777" w:rsidR="002F63A6" w:rsidRPr="00E4115B" w:rsidRDefault="002F63A6" w:rsidP="004978FF">
      <w:pPr>
        <w:pStyle w:val="Balk3"/>
        <w:ind w:left="0" w:hanging="11"/>
        <w:rPr>
          <w:b w:val="0"/>
        </w:rPr>
      </w:pPr>
      <w:r w:rsidRPr="00E4115B">
        <w:rPr>
          <w:b w:val="0"/>
        </w:rPr>
        <w:t>Bir piyasa katılımcısının VGP faaliyetlerine ilişkin olarak sunmuş olduğu temerrüt garanti hesabı katkı payı tutarının, sunulması gereken VGP toplam temerrüt garanti hesabı katkı payı tutarını karşılamaması durumunda ilgili piyasa katılımcısına merkezi uzlaştırma kuruluşu tarafından temerrüt garanti hesabı katkı payı tamamlama çağrısı yapılır.</w:t>
      </w:r>
    </w:p>
    <w:p w14:paraId="0CC4539D" w14:textId="77777777" w:rsidR="002F63A6" w:rsidRPr="00E4115B" w:rsidRDefault="002F63A6" w:rsidP="004978FF">
      <w:pPr>
        <w:pStyle w:val="Balk2"/>
      </w:pPr>
      <w:bookmarkStart w:id="98" w:name="_Toc64755990"/>
      <w:r w:rsidRPr="00E4115B">
        <w:lastRenderedPageBreak/>
        <w:t>Temerrüt Garanti Hesabı Katkı Payı Olarak Kabul Edilebilecek Kıymetler</w:t>
      </w:r>
      <w:bookmarkEnd w:id="98"/>
      <w:r w:rsidRPr="00E4115B">
        <w:t xml:space="preserve"> </w:t>
      </w:r>
    </w:p>
    <w:p w14:paraId="62C86F4C" w14:textId="77777777" w:rsidR="002F63A6" w:rsidRPr="00E4115B" w:rsidRDefault="002F63A6" w:rsidP="004978FF">
      <w:pPr>
        <w:pStyle w:val="Balk3"/>
        <w:ind w:left="0" w:hanging="11"/>
        <w:rPr>
          <w:b w:val="0"/>
        </w:rPr>
      </w:pPr>
      <w:r w:rsidRPr="00E4115B">
        <w:rPr>
          <w:b w:val="0"/>
        </w:rPr>
        <w:t xml:space="preserve">Piyasa katılımcıları, temerrüt garanti hesabı katkı payı yükümlülüklerini Türk Lirası, döviz (ABD Doları ve Avro) ve hamiline olmak kaydıyla T.C. Hazine ve Maliye Bakanlığınca ihraç edilen Devlet İç Borçlanma Senetleri ile yerine getirebilir. </w:t>
      </w:r>
    </w:p>
    <w:p w14:paraId="3E629877" w14:textId="77777777" w:rsidR="002F63A6" w:rsidRPr="00E4115B" w:rsidRDefault="002F63A6" w:rsidP="004978FF">
      <w:pPr>
        <w:pStyle w:val="Balk3"/>
        <w:ind w:left="0" w:hanging="11"/>
        <w:rPr>
          <w:b w:val="0"/>
        </w:rPr>
      </w:pPr>
      <w:r w:rsidRPr="00E4115B">
        <w:rPr>
          <w:b w:val="0"/>
        </w:rPr>
        <w:t>Teminatların TL karşılıklarının hesaplanması madde 12.11.2 hükmüne göre, katılımcıların temerrüt garanti hesabı katkı payı olarak kabul edilen varlıklarının değiştirilmesi, değerleme katsayısı belirlenmesi ve duyurulması madde 12.11.5 hükümlerine göre yapılır. Gün sonu değerlemesi sonucunda katkı payı eksiği bulunan hesaplara, katkı payı tamamlama çağrısı yapılır.</w:t>
      </w:r>
    </w:p>
    <w:p w14:paraId="677FEF9C" w14:textId="77777777" w:rsidR="002F63A6" w:rsidRPr="00E4115B" w:rsidRDefault="002F63A6" w:rsidP="004978FF">
      <w:pPr>
        <w:pStyle w:val="Balk3"/>
        <w:ind w:left="0" w:hanging="11"/>
        <w:rPr>
          <w:b w:val="0"/>
        </w:rPr>
      </w:pPr>
      <w:r w:rsidRPr="00E4115B">
        <w:rPr>
          <w:b w:val="0"/>
        </w:rPr>
        <w:t>Bulunması gereken katkı payı toplamının en az % 50’lik kısmının Türk Lirası cinsinden nakit olması zorunludur.</w:t>
      </w:r>
    </w:p>
    <w:p w14:paraId="32182078" w14:textId="77777777" w:rsidR="002F63A6" w:rsidRPr="00E4115B" w:rsidRDefault="002F63A6" w:rsidP="004978FF">
      <w:pPr>
        <w:pStyle w:val="Balk2"/>
      </w:pPr>
      <w:bookmarkStart w:id="99" w:name="_Toc64755991"/>
      <w:r w:rsidRPr="00E4115B">
        <w:t>Temerrüt Garanti Hesabının Kullanım Esasları</w:t>
      </w:r>
      <w:bookmarkEnd w:id="99"/>
      <w:r w:rsidRPr="00E4115B">
        <w:t xml:space="preserve"> </w:t>
      </w:r>
    </w:p>
    <w:p w14:paraId="62A26B8A" w14:textId="77777777" w:rsidR="002F63A6" w:rsidRPr="00E4115B" w:rsidRDefault="002F63A6" w:rsidP="004978FF">
      <w:pPr>
        <w:pStyle w:val="Balk3"/>
        <w:ind w:left="0" w:hanging="11"/>
        <w:rPr>
          <w:b w:val="0"/>
        </w:rPr>
      </w:pPr>
      <w:r w:rsidRPr="00E4115B">
        <w:rPr>
          <w:b w:val="0"/>
        </w:rPr>
        <w:t xml:space="preserve">Temerrüt garanti hesabına başvurulmasını gerektiren hallerde, temerrüt nedeniyle oluşan zararın kapatılmasına kadar geçecek süre içinde piyasa katılımcılarının, temerrüt garanti hesabından kendi katkı paylarını çekmesine izin verilmez. </w:t>
      </w:r>
    </w:p>
    <w:p w14:paraId="0C048612" w14:textId="77777777" w:rsidR="002F63A6" w:rsidRPr="00E4115B" w:rsidRDefault="002F63A6" w:rsidP="004978FF">
      <w:pPr>
        <w:pStyle w:val="Balk3"/>
        <w:ind w:left="0" w:hanging="11"/>
        <w:rPr>
          <w:b w:val="0"/>
        </w:rPr>
      </w:pPr>
      <w:r w:rsidRPr="00E4115B">
        <w:rPr>
          <w:b w:val="0"/>
        </w:rPr>
        <w:t xml:space="preserve">Katkı paylarına başvurulmasında TL cinsinden nakit kıymetlerden başlanır. Katkı paylarına başvurulmasında en likit varlıktan başlayarak, nakde tahvil kabiliyetinin yüksekliği esas alınır. Temerrüt garanti hesabındaki nakit dışı katkı paylarından nakde tahvil edilen ancak kullanılmayan nakit tutarlar, nakit dışı katkı payları kullanılan piyasa katılımcılarına oransal olarak iade edilir. </w:t>
      </w:r>
    </w:p>
    <w:p w14:paraId="24981A76" w14:textId="77777777" w:rsidR="002F63A6" w:rsidRPr="00E4115B" w:rsidRDefault="002F63A6" w:rsidP="004978FF">
      <w:pPr>
        <w:pStyle w:val="Balk3"/>
        <w:ind w:left="0" w:hanging="11"/>
        <w:rPr>
          <w:b w:val="0"/>
        </w:rPr>
      </w:pPr>
      <w:r w:rsidRPr="00E4115B">
        <w:rPr>
          <w:b w:val="0"/>
        </w:rPr>
        <w:t>Temerrüde düşmemiş katılımcıların katkı paylarına başvurulurken, ilgili katılımcıların temerrüt garanti hesabı içindeki payları esas alınır.</w:t>
      </w:r>
    </w:p>
    <w:p w14:paraId="7A3BE400" w14:textId="77777777" w:rsidR="002F63A6" w:rsidRPr="00E4115B" w:rsidRDefault="002F63A6" w:rsidP="004978FF">
      <w:pPr>
        <w:pStyle w:val="Balk3"/>
        <w:ind w:left="0" w:hanging="11"/>
        <w:rPr>
          <w:b w:val="0"/>
        </w:rPr>
      </w:pPr>
      <w:r w:rsidRPr="00E4115B">
        <w:rPr>
          <w:b w:val="0"/>
        </w:rPr>
        <w:t xml:space="preserve">Katılımcılar, temerrüt yönetimi çerçevesinde kullanılmış olan yatırılmış temerrüt garanti hesabı katkı payı tutarlarını temerrüt garanti hesabı katkı payı tamamlama çağrısını müteakip 3 iş günü içerisinde tekrar yatırmakla yükümlüdürler. </w:t>
      </w:r>
    </w:p>
    <w:p w14:paraId="66A6CA9C" w14:textId="77777777" w:rsidR="002F63A6" w:rsidRPr="00E4115B" w:rsidRDefault="002F63A6" w:rsidP="004978FF">
      <w:pPr>
        <w:pStyle w:val="Balk3"/>
        <w:ind w:left="0" w:hanging="11"/>
        <w:rPr>
          <w:b w:val="0"/>
        </w:rPr>
      </w:pPr>
      <w:r w:rsidRPr="00E4115B">
        <w:rPr>
          <w:b w:val="0"/>
        </w:rPr>
        <w:t xml:space="preserve">Temerrüt garanti hesabından karşılanacak temerrüt tutarının temerrüt garanti hesabının büyüklüğünün %50’sini aşması muhtemel görüldüğünde, katılımcılardan ilave katkı paylarını yatırmaları talep edilebilir. </w:t>
      </w:r>
    </w:p>
    <w:p w14:paraId="27B7B131" w14:textId="77777777" w:rsidR="002F63A6" w:rsidRPr="00E4115B" w:rsidRDefault="002F63A6" w:rsidP="004978FF">
      <w:pPr>
        <w:pStyle w:val="Balk3"/>
        <w:ind w:left="0" w:hanging="11"/>
        <w:rPr>
          <w:b w:val="0"/>
        </w:rPr>
      </w:pPr>
      <w:r w:rsidRPr="00E4115B">
        <w:rPr>
          <w:b w:val="0"/>
        </w:rPr>
        <w:t>Temerrüt nedeniyle katılımcılardan talep edilen ilave temerrüt garanti hesabı katkı paylarının kısmen veya tamamen kullanılması halinde, üyelerden temerrüt garanti hesabı yükümlülüklerini hesaplanan tutara kadar tamamlamaları istenir.</w:t>
      </w:r>
    </w:p>
    <w:p w14:paraId="4D157B91" w14:textId="3D3F7C94" w:rsidR="002F63A6" w:rsidRDefault="002F63A6" w:rsidP="004978FF">
      <w:pPr>
        <w:pStyle w:val="Balk3"/>
        <w:ind w:left="0" w:hanging="11"/>
        <w:rPr>
          <w:b w:val="0"/>
        </w:rPr>
      </w:pPr>
      <w:r w:rsidRPr="00E4115B">
        <w:rPr>
          <w:b w:val="0"/>
        </w:rPr>
        <w:t>Merkezi uzlaştırma kuruluşunda açılan katılımcılara ait temerrüt garanti hesabındaki nakit TL tutarları nemalandırılır ve nemalandırılma sonucu elde edilen brüt nema tutarlarından, vergi ve diğer yasal yükümlülükler ile Takasbank komisyonu dağıtım esnasında düşülür. Kalan tutarlar, katılımcının temerrüt garanti hesabına aktarılır. Nemalandırmaya ilişkin usul ve esaslar merkezi uzlaştırma kuruluşu tarafından belirlenerek üyelere duyurulur.</w:t>
      </w:r>
    </w:p>
    <w:p w14:paraId="479B0AD7" w14:textId="0F543011" w:rsidR="00BE1C65" w:rsidRDefault="00BE1C65" w:rsidP="00BE1C65"/>
    <w:p w14:paraId="2BC4AEAE" w14:textId="25B5349E" w:rsidR="00BE1C65" w:rsidRDefault="00BE1C65" w:rsidP="00BE1C65"/>
    <w:p w14:paraId="33B063BF" w14:textId="77777777" w:rsidR="00BE1C65" w:rsidRPr="00BE1C65" w:rsidRDefault="00BE1C65" w:rsidP="00BE1C65"/>
    <w:p w14:paraId="41491A1F" w14:textId="77777777" w:rsidR="002F63A6" w:rsidRPr="00E4115B" w:rsidRDefault="002F63A6" w:rsidP="004978FF">
      <w:pPr>
        <w:pStyle w:val="Balk2"/>
      </w:pPr>
      <w:bookmarkStart w:id="100" w:name="_Toc64755992"/>
      <w:r w:rsidRPr="00E4115B">
        <w:lastRenderedPageBreak/>
        <w:t>Temerrüt Garanti Hesabı Katkı Paylarının İadesi</w:t>
      </w:r>
      <w:bookmarkEnd w:id="100"/>
      <w:r w:rsidRPr="00E4115B">
        <w:t xml:space="preserve"> </w:t>
      </w:r>
    </w:p>
    <w:p w14:paraId="2C7BFC7E" w14:textId="77777777" w:rsidR="002F63A6" w:rsidRPr="00E4115B" w:rsidRDefault="002F63A6" w:rsidP="004978FF">
      <w:pPr>
        <w:pStyle w:val="Balk3"/>
        <w:ind w:left="0" w:hanging="11"/>
        <w:rPr>
          <w:b w:val="0"/>
        </w:rPr>
      </w:pPr>
      <w:r w:rsidRPr="00E4115B">
        <w:rPr>
          <w:b w:val="0"/>
        </w:rPr>
        <w:t>Piyasa katılımcısı statüsü sona eren katılımcıların temerrüt garanti hesabındaki sabit temerrüt garanti hesabı katkı payı dışındaki katkı payları ve bunlara ilişkin tüm getiri ve haklar; söz konusu katılımcıya,</w:t>
      </w:r>
    </w:p>
    <w:p w14:paraId="2B923076" w14:textId="77777777" w:rsidR="002F63A6" w:rsidRPr="00E4115B" w:rsidRDefault="002F63A6" w:rsidP="00C63473">
      <w:pPr>
        <w:jc w:val="both"/>
        <w:rPr>
          <w:rFonts w:ascii="Times New Roman" w:hAnsi="Times New Roman" w:cs="Times New Roman"/>
          <w:sz w:val="24"/>
          <w:szCs w:val="24"/>
        </w:rPr>
      </w:pPr>
      <w:r w:rsidRPr="00E4115B">
        <w:rPr>
          <w:rFonts w:ascii="Times New Roman" w:hAnsi="Times New Roman" w:cs="Times New Roman"/>
          <w:sz w:val="24"/>
          <w:szCs w:val="24"/>
        </w:rPr>
        <w:t>a. Piyasa işletmecisi tarafından işletilen piyasalarda gerçekleştirmiş olduğu işlemlerden doğan yükümlülükleri,</w:t>
      </w:r>
    </w:p>
    <w:p w14:paraId="2259EBAC" w14:textId="77777777" w:rsidR="002F63A6" w:rsidRPr="00E4115B" w:rsidRDefault="002F63A6"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Piyasa katılımcısı statüsünün sonlandırılması işlemlerinin tamamlandığı tarihe kadar geçen sürede meydana gelebilecek temerrütlerden dolayı piyasa işletmecisinin karşı karşıya kalabileceği ödeme yükümlülükleri </w:t>
      </w:r>
    </w:p>
    <w:p w14:paraId="6EB2DFED" w14:textId="77777777" w:rsidR="002F63A6" w:rsidRPr="00E4115B" w:rsidRDefault="002F63A6"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göz önünde bulundurularak, ödemesi gereken borçları ile vergi ve diğer yasal yükümlülükler düşülmek suretiyle iade edilir. </w:t>
      </w:r>
    </w:p>
    <w:p w14:paraId="5F457B03" w14:textId="77777777" w:rsidR="002F63A6" w:rsidRPr="00E4115B" w:rsidRDefault="002F63A6" w:rsidP="004978FF">
      <w:pPr>
        <w:pStyle w:val="Balk3"/>
        <w:ind w:left="0" w:hanging="11"/>
        <w:rPr>
          <w:b w:val="0"/>
        </w:rPr>
      </w:pPr>
      <w:r w:rsidRPr="00E4115B">
        <w:rPr>
          <w:b w:val="0"/>
        </w:rPr>
        <w:t xml:space="preserve">Bir katılımcının başka bir katılımcıya tüm aktif ve pasifi ile devri sonucu, temerrüt garanti hesabı katkı payı iade işlemi, devir işlemlerinin tamamlandığının piyasa işletmecisine bildirim tarihini izleyen ilk temerrüt garanti hesabı katkı payı hesabını takiben gerçekleştirilir. Temerrüt garanti hesabı katkı payı hesaplaması, birleşen iki katılımcının hesaplama dönemine isabet eden toplam pozisyon büyüklükleri üzerinden yapılır. </w:t>
      </w:r>
    </w:p>
    <w:p w14:paraId="078CFBEF" w14:textId="77777777" w:rsidR="002F63A6" w:rsidRPr="00E4115B" w:rsidRDefault="002F63A6" w:rsidP="004978FF">
      <w:pPr>
        <w:pStyle w:val="Balk3"/>
        <w:ind w:left="0" w:hanging="11"/>
        <w:rPr>
          <w:b w:val="0"/>
        </w:rPr>
      </w:pPr>
      <w:r w:rsidRPr="00E4115B">
        <w:rPr>
          <w:b w:val="0"/>
        </w:rPr>
        <w:t>Statüsünü sona erdirmek isteyen piyasa katılımcısının sabit temerrüt garanti hesabı katkı payı, piyasadaki tüm açık pozisyonların teslimat dönemi ve temerrüt garanti hesabı katkı payı hesaplaması için 16.2.6 maddesinde belirtilen süre göz önünde bulundurularak bu Usul ve Esaslar ve PUE kapsamında borcu bulunmaması halinde piyasa işletmecisi tarafından iade edilir.</w:t>
      </w:r>
    </w:p>
    <w:p w14:paraId="46A9AB22" w14:textId="77777777" w:rsidR="002F63A6" w:rsidRPr="00E4115B" w:rsidRDefault="002F63A6" w:rsidP="004978FF">
      <w:pPr>
        <w:pStyle w:val="Balk3"/>
        <w:ind w:left="0" w:hanging="11"/>
        <w:rPr>
          <w:b w:val="0"/>
        </w:rPr>
      </w:pPr>
      <w:r w:rsidRPr="00E4115B">
        <w:rPr>
          <w:b w:val="0"/>
        </w:rPr>
        <w:t>Piyasa katılımcısı statüsü sona eren katılımcının temerrüt garanti hesabı katkı payı içerisinde nakit bulunması halinde, nakdin iadesinde nemalandırılan tutardan ödenmesi gereken vergi ve diğer yasal yükümlülükler düşülerek iade işlemi gerçekleştirilir.</w:t>
      </w:r>
    </w:p>
    <w:p w14:paraId="6DEA173F" w14:textId="77777777" w:rsidR="002F63A6" w:rsidRPr="00E4115B" w:rsidRDefault="002F63A6" w:rsidP="004978FF">
      <w:pPr>
        <w:pStyle w:val="Balk2"/>
      </w:pPr>
      <w:bookmarkStart w:id="101" w:name="_Toc64755993"/>
      <w:r w:rsidRPr="00E4115B">
        <w:t>Piyasa İşletmecisinin Temerrüt Yönetimi Katkısı</w:t>
      </w:r>
      <w:bookmarkEnd w:id="101"/>
    </w:p>
    <w:p w14:paraId="488ABE01" w14:textId="77777777" w:rsidR="002F63A6" w:rsidRPr="00E4115B" w:rsidRDefault="002F63A6" w:rsidP="004978FF">
      <w:pPr>
        <w:pStyle w:val="Balk3"/>
        <w:ind w:left="0" w:hanging="11"/>
        <w:rPr>
          <w:b w:val="0"/>
        </w:rPr>
      </w:pPr>
      <w:r w:rsidRPr="00E4115B">
        <w:rPr>
          <w:b w:val="0"/>
        </w:rPr>
        <w:t xml:space="preserve">Piyasa işletmecisinin temerrüt yönetimi katkısı taahhüt tutarı, EPİAŞ tarafından belirlenir. </w:t>
      </w:r>
    </w:p>
    <w:p w14:paraId="0DA7F86B" w14:textId="77777777" w:rsidR="002F63A6" w:rsidRPr="00E4115B" w:rsidRDefault="002F63A6" w:rsidP="004978FF">
      <w:pPr>
        <w:pStyle w:val="Balk3"/>
        <w:ind w:left="0" w:hanging="11"/>
        <w:rPr>
          <w:b w:val="0"/>
        </w:rPr>
      </w:pPr>
      <w:r w:rsidRPr="00E4115B">
        <w:rPr>
          <w:b w:val="0"/>
        </w:rPr>
        <w:t xml:space="preserve">Temerrüt yönetimi hükümleri çerçevesinde piyasa işletmecisinin temerrüt yönetimi katkısı tutarına başvurulmuş olması halinde aynı yıl içinde piyasa işletmecisi tarafından söz konusu kullanılan tutarlar için tekrar taahhütte bulunulmaz. </w:t>
      </w:r>
    </w:p>
    <w:p w14:paraId="7FF1E25B" w14:textId="77777777" w:rsidR="002F63A6" w:rsidRPr="00E4115B" w:rsidRDefault="002F63A6" w:rsidP="004978FF">
      <w:pPr>
        <w:pStyle w:val="Balk3"/>
        <w:ind w:left="0" w:hanging="11"/>
        <w:rPr>
          <w:b w:val="0"/>
        </w:rPr>
      </w:pPr>
      <w:r w:rsidRPr="00E4115B">
        <w:rPr>
          <w:b w:val="0"/>
        </w:rPr>
        <w:t xml:space="preserve">Temerrüde düşen piyasa katılımcısı tarafından cari hesabına, kendi temerrüt garanti hesabı katkı payına ve/veya VGP teminat hesabına yatırılan tutarlar ile piyasa işletmecisinin temerrüt yönetimi katkısından ve/veya diğer piyasa katılımcılarının temerrüt garanti hesabı katkı payından kullanılan tutarların temerrüde düşen ilgili piyasa katılımcısından tahsil edilen tutarlar sırasıyla; </w:t>
      </w:r>
    </w:p>
    <w:p w14:paraId="7D85B3D1" w14:textId="77777777" w:rsidR="002F63A6" w:rsidRPr="00E4115B" w:rsidRDefault="002F63A6" w:rsidP="00C63473">
      <w:pPr>
        <w:jc w:val="both"/>
        <w:rPr>
          <w:rFonts w:ascii="Times New Roman" w:hAnsi="Times New Roman" w:cs="Times New Roman"/>
          <w:sz w:val="24"/>
          <w:szCs w:val="24"/>
        </w:rPr>
      </w:pPr>
      <w:r w:rsidRPr="00E4115B">
        <w:rPr>
          <w:rFonts w:ascii="Times New Roman" w:hAnsi="Times New Roman" w:cs="Times New Roman"/>
          <w:sz w:val="24"/>
          <w:szCs w:val="24"/>
        </w:rPr>
        <w:t>a. Temerrüt garanti hesabı katkı paylarına başvurulan diğer piyasa katılımcılarının ilgili hesabına oransal olarak,</w:t>
      </w:r>
    </w:p>
    <w:p w14:paraId="0D505563" w14:textId="77777777" w:rsidR="002F63A6" w:rsidRPr="00E4115B" w:rsidRDefault="002F63A6" w:rsidP="00C63473">
      <w:pPr>
        <w:jc w:val="both"/>
        <w:rPr>
          <w:rFonts w:ascii="Times New Roman" w:hAnsi="Times New Roman" w:cs="Times New Roman"/>
          <w:sz w:val="24"/>
          <w:szCs w:val="24"/>
        </w:rPr>
      </w:pPr>
      <w:r w:rsidRPr="00E4115B">
        <w:rPr>
          <w:rFonts w:ascii="Times New Roman" w:hAnsi="Times New Roman" w:cs="Times New Roman"/>
          <w:sz w:val="24"/>
          <w:szCs w:val="24"/>
        </w:rPr>
        <w:t>b. Varsa kalan tutar piyasa işletmecisi temerrüt yönetimi katkısı tutarına</w:t>
      </w:r>
    </w:p>
    <w:p w14:paraId="5DE85F33" w14:textId="77777777" w:rsidR="002F63A6" w:rsidRPr="00E4115B" w:rsidRDefault="002F63A6"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söz konusu temerrüt nedeniyle kullanılan tutarlar kadar aktarılır. Kalan tutar varsa temerrüde düşen piyasa katılımcısının kendi temerrüt garanti hesabı katkı payına ve/veya teminat hesabına aktarılır.</w:t>
      </w:r>
    </w:p>
    <w:p w14:paraId="3699161F" w14:textId="283A93E9" w:rsidR="002F63A6" w:rsidRPr="00E4115B" w:rsidRDefault="002F63A6" w:rsidP="004978FF">
      <w:pPr>
        <w:pStyle w:val="Balk3"/>
        <w:ind w:left="0" w:hanging="11"/>
        <w:rPr>
          <w:b w:val="0"/>
        </w:rPr>
      </w:pPr>
      <w:r w:rsidRPr="00E4115B">
        <w:rPr>
          <w:b w:val="0"/>
        </w:rPr>
        <w:t xml:space="preserve">Piyasa işletmecisinin temerrüt yönetimi katkısının kullanılmasına neden olan katılımcıya bu tutarlar için temerrüt faizi uygulanır. Temerrüt faizi oranı, </w:t>
      </w:r>
      <w:r w:rsidR="00151A6E" w:rsidRPr="00681BF6">
        <w:rPr>
          <w:b w:val="0"/>
        </w:rPr>
        <w:t>6183 sayılı</w:t>
      </w:r>
      <w:r w:rsidR="00151A6E" w:rsidRPr="00151A6E">
        <w:rPr>
          <w:b w:val="0"/>
        </w:rPr>
        <w:t xml:space="preserve"> </w:t>
      </w:r>
      <w:r w:rsidRPr="00E4115B">
        <w:rPr>
          <w:b w:val="0"/>
        </w:rPr>
        <w:t>Amme Alacaklarının Tahsil Usulü Hakkında Kanunun 51 inci maddesine göre belirlenen faiz oranıdır.</w:t>
      </w:r>
    </w:p>
    <w:p w14:paraId="29F28100" w14:textId="77777777" w:rsidR="002F63A6" w:rsidRPr="00E4115B" w:rsidRDefault="002F63A6" w:rsidP="00C63473">
      <w:pPr>
        <w:jc w:val="both"/>
        <w:rPr>
          <w:rFonts w:ascii="Times New Roman" w:hAnsi="Times New Roman" w:cs="Times New Roman"/>
          <w:sz w:val="24"/>
          <w:szCs w:val="24"/>
        </w:rPr>
      </w:pPr>
    </w:p>
    <w:p w14:paraId="574B9964" w14:textId="77777777" w:rsidR="002F63A6" w:rsidRPr="00E4115B" w:rsidRDefault="002F63A6" w:rsidP="004A35D9">
      <w:pPr>
        <w:pStyle w:val="Balk1"/>
      </w:pPr>
      <w:bookmarkStart w:id="102" w:name="_Toc64755994"/>
      <w:r w:rsidRPr="00E4115B">
        <w:t>SON HÜKÜMLER</w:t>
      </w:r>
      <w:bookmarkEnd w:id="102"/>
    </w:p>
    <w:p w14:paraId="0A487A9B" w14:textId="77777777" w:rsidR="002F63A6" w:rsidRPr="00E4115B" w:rsidRDefault="002F63A6" w:rsidP="004978FF">
      <w:pPr>
        <w:pStyle w:val="Balk2"/>
      </w:pPr>
      <w:bookmarkStart w:id="103" w:name="_Toc64755995"/>
      <w:bookmarkStart w:id="104" w:name="_Toc64755996"/>
      <w:bookmarkEnd w:id="103"/>
      <w:r w:rsidRPr="00E4115B">
        <w:t>Alacağın Devri ve Rehni</w:t>
      </w:r>
      <w:bookmarkEnd w:id="104"/>
    </w:p>
    <w:p w14:paraId="199447A8" w14:textId="77777777" w:rsidR="002F63A6" w:rsidRPr="00E4115B" w:rsidRDefault="002F63A6" w:rsidP="004978FF">
      <w:pPr>
        <w:pStyle w:val="Balk3"/>
        <w:ind w:left="0" w:hanging="11"/>
        <w:rPr>
          <w:b w:val="0"/>
        </w:rPr>
      </w:pPr>
      <w:r w:rsidRPr="00E4115B">
        <w:rPr>
          <w:b w:val="0"/>
        </w:rPr>
        <w:t>Piyasa Katılımcısı, EPİAŞ nezdindeki hak ve alacaklarının devrini veya rehnini ancak piyasa işletmecisinden piyasa işletmecisinin meri mevzuat dâhilinde önceden belirlediği ve ilan ettiği şartlara uygun olarak ve piyasa işletmecisinden onay almak kaydıyla gerçekleştirebilir.</w:t>
      </w:r>
    </w:p>
    <w:p w14:paraId="688DA61C" w14:textId="77777777" w:rsidR="002F63A6" w:rsidRPr="00E4115B" w:rsidRDefault="002F63A6" w:rsidP="004978FF">
      <w:pPr>
        <w:pStyle w:val="Balk2"/>
      </w:pPr>
      <w:bookmarkStart w:id="105" w:name="_Toc64755997"/>
      <w:r w:rsidRPr="00E4115B">
        <w:t>Sanal Uygulama ve VGP’nin Faaliyete Geçmesi</w:t>
      </w:r>
      <w:bookmarkEnd w:id="105"/>
    </w:p>
    <w:p w14:paraId="1D2A7536" w14:textId="31058CDE" w:rsidR="002F63A6" w:rsidRPr="00E4115B" w:rsidRDefault="002F63A6" w:rsidP="004978FF">
      <w:pPr>
        <w:pStyle w:val="Balk3"/>
        <w:ind w:left="0" w:hanging="11"/>
        <w:rPr>
          <w:b w:val="0"/>
        </w:rPr>
      </w:pPr>
      <w:r w:rsidRPr="00E4115B">
        <w:rPr>
          <w:b w:val="0"/>
        </w:rPr>
        <w:t xml:space="preserve">STP’de VGP’ye ilişkin test çalışmalarının tamamlanmasının ardından VGP, </w:t>
      </w:r>
      <w:r w:rsidR="007E368E">
        <w:rPr>
          <w:b w:val="0"/>
        </w:rPr>
        <w:t>30</w:t>
      </w:r>
      <w:r w:rsidRPr="00E4115B">
        <w:rPr>
          <w:b w:val="0"/>
        </w:rPr>
        <w:t>/</w:t>
      </w:r>
      <w:r w:rsidR="007E368E">
        <w:rPr>
          <w:b w:val="0"/>
        </w:rPr>
        <w:t>6</w:t>
      </w:r>
      <w:r w:rsidRPr="00E4115B">
        <w:rPr>
          <w:b w:val="0"/>
        </w:rPr>
        <w:t xml:space="preserve">/2021 günü saat 08:00’da, sanal uygulamanın başlatılmasıyla birlikte faaliyete geçer. </w:t>
      </w:r>
    </w:p>
    <w:p w14:paraId="00DF67D2" w14:textId="77777777" w:rsidR="002F63A6" w:rsidRPr="00E4115B" w:rsidRDefault="002F63A6" w:rsidP="004978FF">
      <w:pPr>
        <w:pStyle w:val="Balk3"/>
        <w:ind w:left="0" w:hanging="11"/>
        <w:rPr>
          <w:b w:val="0"/>
        </w:rPr>
      </w:pPr>
      <w:r w:rsidRPr="00E4115B">
        <w:rPr>
          <w:b w:val="0"/>
        </w:rPr>
        <w:t>Sanal uygulamanın tamamlanmasının ardından, VGP’ye ilişkin olarak teslimat, faturalama ve PİÜ dahil ödeme yükümlülüğü doğuracak piyasa işlemleri 1/10/2021 tarihine kadar başlatılır.</w:t>
      </w:r>
    </w:p>
    <w:p w14:paraId="159E968B" w14:textId="77777777" w:rsidR="002F63A6" w:rsidRPr="00E4115B" w:rsidRDefault="002F63A6" w:rsidP="004978FF">
      <w:pPr>
        <w:pStyle w:val="Balk2"/>
      </w:pPr>
      <w:bookmarkStart w:id="106" w:name="_Toc64755998"/>
      <w:r w:rsidRPr="00E4115B">
        <w:t>Yürürlük</w:t>
      </w:r>
      <w:bookmarkEnd w:id="106"/>
      <w:r w:rsidRPr="00E4115B">
        <w:t xml:space="preserve"> </w:t>
      </w:r>
    </w:p>
    <w:p w14:paraId="00020F45" w14:textId="77777777" w:rsidR="002F63A6" w:rsidRPr="00E4115B" w:rsidRDefault="002F63A6" w:rsidP="004978FF">
      <w:pPr>
        <w:pStyle w:val="Balk3"/>
        <w:ind w:left="0" w:hanging="11"/>
        <w:rPr>
          <w:b w:val="0"/>
        </w:rPr>
      </w:pPr>
      <w:r w:rsidRPr="00E4115B">
        <w:rPr>
          <w:b w:val="0"/>
        </w:rPr>
        <w:t>Bu Usul ve Esaslar yayımı tarihinde yürürlüğe girer.</w:t>
      </w:r>
    </w:p>
    <w:p w14:paraId="6A106E97" w14:textId="77777777" w:rsidR="002F63A6" w:rsidRPr="00E4115B" w:rsidRDefault="002F63A6" w:rsidP="004978FF">
      <w:pPr>
        <w:pStyle w:val="Balk2"/>
      </w:pPr>
      <w:bookmarkStart w:id="107" w:name="_Toc64755999"/>
      <w:r w:rsidRPr="00E4115B">
        <w:t>Yürütme</w:t>
      </w:r>
      <w:bookmarkEnd w:id="107"/>
    </w:p>
    <w:p w14:paraId="1BBB7C42" w14:textId="050419F9" w:rsidR="002F63A6" w:rsidRPr="008B3E97" w:rsidRDefault="002F63A6" w:rsidP="008B3E97">
      <w:pPr>
        <w:pStyle w:val="Balk3"/>
        <w:ind w:left="0" w:hanging="11"/>
        <w:rPr>
          <w:b w:val="0"/>
        </w:rPr>
      </w:pPr>
      <w:r w:rsidRPr="00E4115B">
        <w:rPr>
          <w:b w:val="0"/>
        </w:rPr>
        <w:t>Bu Usul ve Esaslar hükümlerini Enerji Piyasası Düzenleme Kurumu Başkanı yürütür.</w:t>
      </w:r>
    </w:p>
    <w:sectPr w:rsidR="002F63A6" w:rsidRPr="008B3E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CEC12" w14:textId="77777777" w:rsidR="00F92C1E" w:rsidRDefault="00F92C1E" w:rsidP="004978FF">
      <w:pPr>
        <w:spacing w:after="0" w:line="240" w:lineRule="auto"/>
      </w:pPr>
      <w:r>
        <w:separator/>
      </w:r>
    </w:p>
  </w:endnote>
  <w:endnote w:type="continuationSeparator" w:id="0">
    <w:p w14:paraId="36F11C34" w14:textId="77777777" w:rsidR="00F92C1E" w:rsidRDefault="00F92C1E" w:rsidP="0049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BAD74" w14:textId="77777777" w:rsidR="00766FC8" w:rsidRDefault="00766FC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5359"/>
      <w:docPartObj>
        <w:docPartGallery w:val="Page Numbers (Bottom of Page)"/>
        <w:docPartUnique/>
      </w:docPartObj>
    </w:sdtPr>
    <w:sdtEndPr>
      <w:rPr>
        <w:rFonts w:ascii="Times New Roman" w:hAnsi="Times New Roman" w:cs="Times New Roman"/>
      </w:rPr>
    </w:sdtEndPr>
    <w:sdtContent>
      <w:p w14:paraId="7F30858A" w14:textId="472B003B" w:rsidR="004C5107" w:rsidRPr="004978FF" w:rsidRDefault="004C5107">
        <w:pPr>
          <w:pStyle w:val="AltBilgi"/>
          <w:jc w:val="center"/>
          <w:rPr>
            <w:rFonts w:ascii="Times New Roman" w:hAnsi="Times New Roman" w:cs="Times New Roman"/>
          </w:rPr>
        </w:pPr>
        <w:r w:rsidRPr="004978FF">
          <w:rPr>
            <w:rFonts w:ascii="Times New Roman" w:hAnsi="Times New Roman" w:cs="Times New Roman"/>
          </w:rPr>
          <w:fldChar w:fldCharType="begin"/>
        </w:r>
        <w:r w:rsidRPr="004978FF">
          <w:rPr>
            <w:rFonts w:ascii="Times New Roman" w:hAnsi="Times New Roman" w:cs="Times New Roman"/>
          </w:rPr>
          <w:instrText>PAGE   \* MERGEFORMAT</w:instrText>
        </w:r>
        <w:r w:rsidRPr="004978FF">
          <w:rPr>
            <w:rFonts w:ascii="Times New Roman" w:hAnsi="Times New Roman" w:cs="Times New Roman"/>
          </w:rPr>
          <w:fldChar w:fldCharType="separate"/>
        </w:r>
        <w:r w:rsidR="00752EA2">
          <w:rPr>
            <w:rFonts w:ascii="Times New Roman" w:hAnsi="Times New Roman" w:cs="Times New Roman"/>
            <w:noProof/>
          </w:rPr>
          <w:t>1</w:t>
        </w:r>
        <w:r w:rsidRPr="004978FF">
          <w:rPr>
            <w:rFonts w:ascii="Times New Roman" w:hAnsi="Times New Roman" w:cs="Times New Roman"/>
          </w:rPr>
          <w:fldChar w:fldCharType="end"/>
        </w:r>
      </w:p>
    </w:sdtContent>
  </w:sdt>
  <w:p w14:paraId="037FF96B" w14:textId="77777777" w:rsidR="004C5107" w:rsidRDefault="004C510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2243F" w14:textId="77777777" w:rsidR="00766FC8" w:rsidRDefault="00766F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B8245" w14:textId="77777777" w:rsidR="00F92C1E" w:rsidRDefault="00F92C1E" w:rsidP="004978FF">
      <w:pPr>
        <w:spacing w:after="0" w:line="240" w:lineRule="auto"/>
      </w:pPr>
      <w:r>
        <w:separator/>
      </w:r>
    </w:p>
  </w:footnote>
  <w:footnote w:type="continuationSeparator" w:id="0">
    <w:p w14:paraId="4A7BF19E" w14:textId="77777777" w:rsidR="00F92C1E" w:rsidRDefault="00F92C1E" w:rsidP="00497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82BDC" w14:textId="77777777" w:rsidR="00766FC8" w:rsidRDefault="00766FC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DCB11" w14:textId="48F8E97D" w:rsidR="00766FC8" w:rsidRDefault="00766FC8">
    <w:pPr>
      <w:pStyle w:val="stBilgi"/>
    </w:pPr>
    <w:r w:rsidRPr="00766FC8">
      <w:rPr>
        <w:highlight w:val="yellow"/>
      </w:rPr>
      <w:t>12 Mart 2021 tarihli ve 31421 sayılı Resmi Gazetede yayımlanmıştır.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1982" w14:textId="77777777" w:rsidR="00766FC8" w:rsidRDefault="00766F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DD"/>
    <w:multiLevelType w:val="multilevel"/>
    <w:tmpl w:val="FC94631A"/>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8B2713"/>
    <w:multiLevelType w:val="multilevel"/>
    <w:tmpl w:val="98DE1B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216130"/>
    <w:multiLevelType w:val="hybridMultilevel"/>
    <w:tmpl w:val="05BC3FA6"/>
    <w:lvl w:ilvl="0" w:tplc="AE86C92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F853A44"/>
    <w:multiLevelType w:val="multilevel"/>
    <w:tmpl w:val="1FDA6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F982449"/>
    <w:multiLevelType w:val="multilevel"/>
    <w:tmpl w:val="9E082C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0E9278F"/>
    <w:multiLevelType w:val="multilevel"/>
    <w:tmpl w:val="93B2B3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8635DC"/>
    <w:multiLevelType w:val="multilevel"/>
    <w:tmpl w:val="DF403AB8"/>
    <w:lvl w:ilvl="0">
      <w:start w:val="11"/>
      <w:numFmt w:val="decimal"/>
      <w:lvlText w:val="%1."/>
      <w:lvlJc w:val="left"/>
      <w:pPr>
        <w:ind w:left="480" w:hanging="480"/>
      </w:pPr>
      <w:rPr>
        <w:rFonts w:hint="default"/>
        <w:strike/>
        <w:color w:val="FF0000"/>
        <w:u w:val="none"/>
      </w:rPr>
    </w:lvl>
    <w:lvl w:ilvl="1">
      <w:start w:val="1"/>
      <w:numFmt w:val="decimal"/>
      <w:lvlText w:val="%1.%2."/>
      <w:lvlJc w:val="left"/>
      <w:pPr>
        <w:ind w:left="480" w:hanging="480"/>
      </w:pPr>
      <w:rPr>
        <w:rFonts w:hint="default"/>
        <w:color w:val="FF0000"/>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A149BD"/>
    <w:multiLevelType w:val="multilevel"/>
    <w:tmpl w:val="98EC15AC"/>
    <w:lvl w:ilvl="0">
      <w:start w:val="1"/>
      <w:numFmt w:val="decimal"/>
      <w:pStyle w:val="Balk1"/>
      <w:lvlText w:val="%1."/>
      <w:lvlJc w:val="left"/>
      <w:pPr>
        <w:ind w:left="714" w:hanging="714"/>
      </w:pPr>
      <w:rPr>
        <w:rFonts w:ascii="Times New Roman" w:hAnsi="Times New Roman" w:hint="default"/>
        <w:b/>
        <w:i w:val="0"/>
        <w:sz w:val="24"/>
      </w:rPr>
    </w:lvl>
    <w:lvl w:ilvl="1">
      <w:start w:val="1"/>
      <w:numFmt w:val="decimal"/>
      <w:pStyle w:val="Balk2"/>
      <w:isLgl/>
      <w:lvlText w:val="%1.%2."/>
      <w:lvlJc w:val="left"/>
      <w:pPr>
        <w:ind w:left="708" w:hanging="708"/>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k3"/>
      <w:isLgl/>
      <w:lvlText w:val="%1.%2.%3."/>
      <w:lvlJc w:val="left"/>
      <w:pPr>
        <w:ind w:left="1146" w:hanging="720"/>
      </w:pPr>
      <w:rPr>
        <w:rFonts w:hint="default"/>
        <w:b/>
        <w:i w:val="0"/>
        <w:color w:val="auto"/>
        <w:u w:val="none"/>
      </w:rPr>
    </w:lvl>
    <w:lvl w:ilvl="3">
      <w:start w:val="1"/>
      <w:numFmt w:val="decimal"/>
      <w:pStyle w:val="Balk4"/>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D625F6B"/>
    <w:multiLevelType w:val="multilevel"/>
    <w:tmpl w:val="D3805A0A"/>
    <w:styleLink w:val="Stil1"/>
    <w:lvl w:ilvl="0">
      <w:start w:val="1"/>
      <w:numFmt w:val="decimal"/>
      <w:lvlText w:val="%1"/>
      <w:lvlJc w:val="left"/>
      <w:pPr>
        <w:ind w:left="357" w:hanging="357"/>
      </w:pPr>
      <w:rPr>
        <w:rFonts w:hint="default"/>
      </w:rPr>
    </w:lvl>
    <w:lvl w:ilvl="1">
      <w:start w:val="1"/>
      <w:numFmt w:val="none"/>
      <w:lvlText w:val="1.1"/>
      <w:lvlJc w:val="left"/>
      <w:pPr>
        <w:ind w:left="0" w:firstLine="0"/>
      </w:pPr>
      <w:rPr>
        <w:rFonts w:hint="default"/>
      </w:rPr>
    </w:lvl>
    <w:lvl w:ilvl="2">
      <w:start w:val="1"/>
      <w:numFmt w:val="none"/>
      <w:lvlText w:val="1.1.1"/>
      <w:lvlJc w:val="left"/>
      <w:pPr>
        <w:tabs>
          <w:tab w:val="num" w:pos="720"/>
        </w:tabs>
        <w:ind w:left="0" w:firstLine="0"/>
      </w:pPr>
      <w:rPr>
        <w:rFonts w:hint="default"/>
      </w:rPr>
    </w:lvl>
    <w:lvl w:ilvl="3">
      <w:start w:val="1"/>
      <w:numFmt w:val="lowerLetter"/>
      <w:lvlText w:val="%4)"/>
      <w:lvlJc w:val="left"/>
      <w:pPr>
        <w:tabs>
          <w:tab w:val="num" w:pos="1077"/>
        </w:tabs>
        <w:ind w:left="0" w:firstLine="567"/>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lvlOverride w:ilvl="2">
      <w:lvl w:ilvl="2">
        <w:start w:val="1"/>
        <w:numFmt w:val="none"/>
        <w:lvlText w:val="1.1.1"/>
        <w:lvlJc w:val="left"/>
        <w:pPr>
          <w:tabs>
            <w:tab w:val="num" w:pos="72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8"/>
  </w:num>
  <w:num w:numId="3">
    <w:abstractNumId w:val="7"/>
  </w:num>
  <w:num w:numId="4">
    <w:abstractNumId w:val="5"/>
  </w:num>
  <w:num w:numId="5">
    <w:abstractNumId w:val="1"/>
  </w:num>
  <w:num w:numId="6">
    <w:abstractNumId w:val="3"/>
  </w:num>
  <w:num w:numId="7">
    <w:abstractNumId w:val="4"/>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E6"/>
    <w:rsid w:val="00017BF3"/>
    <w:rsid w:val="00036F15"/>
    <w:rsid w:val="000400DB"/>
    <w:rsid w:val="00044390"/>
    <w:rsid w:val="000647C7"/>
    <w:rsid w:val="000B5738"/>
    <w:rsid w:val="000E42A7"/>
    <w:rsid w:val="000E5D61"/>
    <w:rsid w:val="000F6B17"/>
    <w:rsid w:val="00101861"/>
    <w:rsid w:val="00107349"/>
    <w:rsid w:val="00121BE2"/>
    <w:rsid w:val="00151A6E"/>
    <w:rsid w:val="00164388"/>
    <w:rsid w:val="001822C2"/>
    <w:rsid w:val="002027A5"/>
    <w:rsid w:val="002E7273"/>
    <w:rsid w:val="002F63A6"/>
    <w:rsid w:val="00312B94"/>
    <w:rsid w:val="003A6B2B"/>
    <w:rsid w:val="003D757E"/>
    <w:rsid w:val="00412F7C"/>
    <w:rsid w:val="00424C95"/>
    <w:rsid w:val="00482C47"/>
    <w:rsid w:val="00486B7B"/>
    <w:rsid w:val="004978FF"/>
    <w:rsid w:val="004A35D9"/>
    <w:rsid w:val="004C362B"/>
    <w:rsid w:val="004C5107"/>
    <w:rsid w:val="004F30D4"/>
    <w:rsid w:val="00523BE6"/>
    <w:rsid w:val="0054405F"/>
    <w:rsid w:val="005A22F3"/>
    <w:rsid w:val="005F1CC4"/>
    <w:rsid w:val="00607CD4"/>
    <w:rsid w:val="006215F9"/>
    <w:rsid w:val="00641082"/>
    <w:rsid w:val="00681BF6"/>
    <w:rsid w:val="006C2D1D"/>
    <w:rsid w:val="00717F8B"/>
    <w:rsid w:val="00741CEE"/>
    <w:rsid w:val="007445E8"/>
    <w:rsid w:val="00752EA2"/>
    <w:rsid w:val="00766FC8"/>
    <w:rsid w:val="007966DB"/>
    <w:rsid w:val="007E368E"/>
    <w:rsid w:val="007E6742"/>
    <w:rsid w:val="00816906"/>
    <w:rsid w:val="00823075"/>
    <w:rsid w:val="00877007"/>
    <w:rsid w:val="008A16A5"/>
    <w:rsid w:val="008A2C23"/>
    <w:rsid w:val="008B3E97"/>
    <w:rsid w:val="0091393A"/>
    <w:rsid w:val="0093200E"/>
    <w:rsid w:val="00955944"/>
    <w:rsid w:val="009B16FA"/>
    <w:rsid w:val="009E4AAC"/>
    <w:rsid w:val="00A019C7"/>
    <w:rsid w:val="00A218D1"/>
    <w:rsid w:val="00AB07A1"/>
    <w:rsid w:val="00AB23F7"/>
    <w:rsid w:val="00AE3E10"/>
    <w:rsid w:val="00B050AA"/>
    <w:rsid w:val="00B1610C"/>
    <w:rsid w:val="00B313B3"/>
    <w:rsid w:val="00B33867"/>
    <w:rsid w:val="00B90E1C"/>
    <w:rsid w:val="00BE1C65"/>
    <w:rsid w:val="00C44CB5"/>
    <w:rsid w:val="00C52391"/>
    <w:rsid w:val="00C63473"/>
    <w:rsid w:val="00C95BEC"/>
    <w:rsid w:val="00CC6FE7"/>
    <w:rsid w:val="00DB7126"/>
    <w:rsid w:val="00E06EDC"/>
    <w:rsid w:val="00E1768F"/>
    <w:rsid w:val="00E32E52"/>
    <w:rsid w:val="00E4115B"/>
    <w:rsid w:val="00E53218"/>
    <w:rsid w:val="00F717FB"/>
    <w:rsid w:val="00F92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CE7C3"/>
  <w15:chartTrackingRefBased/>
  <w15:docId w15:val="{8010D20F-C608-476E-B98C-BBE50AFF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ListeParagraf"/>
    <w:next w:val="Normal"/>
    <w:link w:val="Balk1Char"/>
    <w:uiPriority w:val="9"/>
    <w:qFormat/>
    <w:rsid w:val="004A35D9"/>
    <w:pPr>
      <w:numPr>
        <w:numId w:val="3"/>
      </w:numPr>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unhideWhenUsed/>
    <w:qFormat/>
    <w:rsid w:val="00955944"/>
    <w:pPr>
      <w:numPr>
        <w:ilvl w:val="1"/>
        <w:numId w:val="3"/>
      </w:numPr>
      <w:autoSpaceDE w:val="0"/>
      <w:autoSpaceDN w:val="0"/>
      <w:adjustRightInd w:val="0"/>
      <w:spacing w:after="240" w:line="240" w:lineRule="auto"/>
      <w:jc w:val="both"/>
      <w:outlineLvl w:val="1"/>
    </w:pPr>
    <w:rPr>
      <w:rFonts w:ascii="Times New Roman" w:hAnsi="Times New Roman" w:cs="Times New Roman"/>
      <w:b/>
      <w:sz w:val="24"/>
      <w:szCs w:val="24"/>
    </w:rPr>
  </w:style>
  <w:style w:type="paragraph" w:styleId="Balk3">
    <w:name w:val="heading 3"/>
    <w:basedOn w:val="Balk2"/>
    <w:next w:val="Normal"/>
    <w:link w:val="Balk3Char"/>
    <w:uiPriority w:val="9"/>
    <w:unhideWhenUsed/>
    <w:qFormat/>
    <w:rsid w:val="00C63473"/>
    <w:pPr>
      <w:numPr>
        <w:ilvl w:val="2"/>
      </w:numPr>
      <w:ind w:left="720"/>
      <w:outlineLvl w:val="2"/>
    </w:pPr>
  </w:style>
  <w:style w:type="paragraph" w:styleId="Balk4">
    <w:name w:val="heading 4"/>
    <w:basedOn w:val="Normal"/>
    <w:next w:val="Normal"/>
    <w:link w:val="Balk4Char"/>
    <w:uiPriority w:val="9"/>
    <w:unhideWhenUsed/>
    <w:qFormat/>
    <w:rsid w:val="00955944"/>
    <w:pPr>
      <w:numPr>
        <w:ilvl w:val="3"/>
        <w:numId w:val="3"/>
      </w:numPr>
      <w:autoSpaceDE w:val="0"/>
      <w:autoSpaceDN w:val="0"/>
      <w:adjustRightInd w:val="0"/>
      <w:spacing w:after="240" w:line="240" w:lineRule="auto"/>
      <w:jc w:val="both"/>
      <w:outlineLvl w:val="3"/>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23BE6"/>
    <w:rPr>
      <w:color w:val="0563C1" w:themeColor="hyperlink"/>
      <w:u w:val="single"/>
    </w:rPr>
  </w:style>
  <w:style w:type="numbering" w:customStyle="1" w:styleId="Stil1">
    <w:name w:val="Stil1"/>
    <w:uiPriority w:val="99"/>
    <w:rsid w:val="00955944"/>
    <w:pPr>
      <w:numPr>
        <w:numId w:val="2"/>
      </w:numPr>
    </w:pPr>
  </w:style>
  <w:style w:type="character" w:customStyle="1" w:styleId="Balk1Char">
    <w:name w:val="Başlık 1 Char"/>
    <w:basedOn w:val="VarsaylanParagrafYazTipi"/>
    <w:link w:val="Balk1"/>
    <w:uiPriority w:val="9"/>
    <w:rsid w:val="004A35D9"/>
    <w:rPr>
      <w:rFonts w:ascii="Times New Roman" w:hAnsi="Times New Roman" w:cs="Times New Roman"/>
      <w:b/>
      <w:sz w:val="24"/>
      <w:szCs w:val="24"/>
    </w:rPr>
  </w:style>
  <w:style w:type="character" w:customStyle="1" w:styleId="Balk2Char">
    <w:name w:val="Başlık 2 Char"/>
    <w:basedOn w:val="VarsaylanParagrafYazTipi"/>
    <w:link w:val="Balk2"/>
    <w:uiPriority w:val="9"/>
    <w:rsid w:val="00955944"/>
    <w:rPr>
      <w:rFonts w:ascii="Times New Roman" w:hAnsi="Times New Roman" w:cs="Times New Roman"/>
      <w:b/>
      <w:sz w:val="24"/>
      <w:szCs w:val="24"/>
    </w:rPr>
  </w:style>
  <w:style w:type="character" w:customStyle="1" w:styleId="Balk3Char">
    <w:name w:val="Başlık 3 Char"/>
    <w:basedOn w:val="VarsaylanParagrafYazTipi"/>
    <w:link w:val="Balk3"/>
    <w:uiPriority w:val="9"/>
    <w:rsid w:val="00C63473"/>
    <w:rPr>
      <w:rFonts w:ascii="Times New Roman" w:hAnsi="Times New Roman" w:cs="Times New Roman"/>
      <w:b/>
      <w:sz w:val="24"/>
      <w:szCs w:val="24"/>
    </w:rPr>
  </w:style>
  <w:style w:type="character" w:customStyle="1" w:styleId="Balk4Char">
    <w:name w:val="Başlık 4 Char"/>
    <w:basedOn w:val="VarsaylanParagrafYazTipi"/>
    <w:link w:val="Balk4"/>
    <w:uiPriority w:val="9"/>
    <w:rsid w:val="00955944"/>
    <w:rPr>
      <w:rFonts w:ascii="Times New Roman" w:hAnsi="Times New Roman" w:cs="Times New Roman"/>
      <w:sz w:val="24"/>
      <w:szCs w:val="24"/>
    </w:rPr>
  </w:style>
  <w:style w:type="paragraph" w:customStyle="1" w:styleId="Default">
    <w:name w:val="Default"/>
    <w:rsid w:val="0095594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55944"/>
    <w:pPr>
      <w:ind w:left="720"/>
      <w:contextualSpacing/>
    </w:pPr>
  </w:style>
  <w:style w:type="paragraph" w:styleId="NormalWeb">
    <w:name w:val="Normal (Web)"/>
    <w:aliases w:val="Normal (Web) Char Char,Normal (Web) Char Char Char Char,Normal (Web) Char Char Char,Char Char Char Char Char Char,Char"/>
    <w:basedOn w:val="Normal"/>
    <w:link w:val="NormalWebChar"/>
    <w:uiPriority w:val="99"/>
    <w:unhideWhenUsed/>
    <w:qFormat/>
    <w:rsid w:val="00641082"/>
    <w:rPr>
      <w:rFonts w:ascii="Times New Roman" w:hAnsi="Times New Roman" w:cs="Times New Roman"/>
      <w:sz w:val="24"/>
      <w:szCs w:val="24"/>
    </w:rPr>
  </w:style>
  <w:style w:type="character" w:customStyle="1" w:styleId="NormalWebChar">
    <w:name w:val="Normal (Web) Char"/>
    <w:aliases w:val="Normal (Web) Char Char Char1,Normal (Web) Char Char Char Char Char,Normal (Web) Char Char Char Char1,Char Char Char Char Char Char Char,Char Char"/>
    <w:link w:val="NormalWeb"/>
    <w:uiPriority w:val="99"/>
    <w:locked/>
    <w:rsid w:val="00641082"/>
    <w:rPr>
      <w:rFonts w:ascii="Times New Roman" w:hAnsi="Times New Roman" w:cs="Times New Roman"/>
      <w:sz w:val="24"/>
      <w:szCs w:val="24"/>
    </w:rPr>
  </w:style>
  <w:style w:type="paragraph" w:styleId="stBilgi">
    <w:name w:val="header"/>
    <w:basedOn w:val="Normal"/>
    <w:link w:val="stBilgiChar"/>
    <w:uiPriority w:val="99"/>
    <w:unhideWhenUsed/>
    <w:rsid w:val="004978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78FF"/>
  </w:style>
  <w:style w:type="paragraph" w:styleId="AltBilgi">
    <w:name w:val="footer"/>
    <w:basedOn w:val="Normal"/>
    <w:link w:val="AltBilgiChar"/>
    <w:uiPriority w:val="99"/>
    <w:unhideWhenUsed/>
    <w:rsid w:val="004978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78FF"/>
  </w:style>
  <w:style w:type="paragraph" w:styleId="TBal">
    <w:name w:val="TOC Heading"/>
    <w:basedOn w:val="Balk1"/>
    <w:next w:val="Normal"/>
    <w:uiPriority w:val="39"/>
    <w:unhideWhenUsed/>
    <w:qFormat/>
    <w:rsid w:val="004978FF"/>
    <w:pPr>
      <w:keepNext/>
      <w:keepLines/>
      <w:numPr>
        <w:numId w:val="0"/>
      </w:numPr>
      <w:spacing w:before="240" w:after="0"/>
      <w:contextualSpacing w:val="0"/>
      <w:outlineLvl w:val="9"/>
    </w:pPr>
    <w:rPr>
      <w:rFonts w:asciiTheme="majorHAnsi" w:eastAsiaTheme="majorEastAsia" w:hAnsiTheme="majorHAnsi" w:cstheme="majorBidi"/>
      <w:b w:val="0"/>
      <w:color w:val="2E74B5" w:themeColor="accent1" w:themeShade="BF"/>
      <w:sz w:val="32"/>
      <w:szCs w:val="32"/>
      <w:lang w:eastAsia="tr-TR"/>
    </w:rPr>
  </w:style>
  <w:style w:type="paragraph" w:styleId="T2">
    <w:name w:val="toc 2"/>
    <w:basedOn w:val="Normal"/>
    <w:next w:val="Normal"/>
    <w:autoRedefine/>
    <w:uiPriority w:val="39"/>
    <w:unhideWhenUsed/>
    <w:rsid w:val="004978FF"/>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4978FF"/>
    <w:pPr>
      <w:spacing w:after="100"/>
    </w:pPr>
    <w:rPr>
      <w:rFonts w:eastAsiaTheme="minorEastAsia" w:cs="Times New Roman"/>
      <w:lang w:eastAsia="tr-TR"/>
    </w:rPr>
  </w:style>
  <w:style w:type="paragraph" w:styleId="T3">
    <w:name w:val="toc 3"/>
    <w:basedOn w:val="Normal"/>
    <w:next w:val="Normal"/>
    <w:autoRedefine/>
    <w:uiPriority w:val="39"/>
    <w:unhideWhenUsed/>
    <w:rsid w:val="004978FF"/>
    <w:pPr>
      <w:spacing w:after="100"/>
      <w:ind w:left="440"/>
    </w:pPr>
    <w:rPr>
      <w:rFonts w:eastAsiaTheme="minorEastAsia" w:cs="Times New Roman"/>
      <w:lang w:eastAsia="tr-TR"/>
    </w:rPr>
  </w:style>
  <w:style w:type="paragraph" w:styleId="T4">
    <w:name w:val="toc 4"/>
    <w:basedOn w:val="Normal"/>
    <w:next w:val="Normal"/>
    <w:autoRedefine/>
    <w:uiPriority w:val="39"/>
    <w:unhideWhenUsed/>
    <w:rsid w:val="00E4115B"/>
    <w:pPr>
      <w:spacing w:after="100"/>
      <w:ind w:left="660"/>
    </w:pPr>
    <w:rPr>
      <w:rFonts w:eastAsiaTheme="minorEastAsia"/>
      <w:lang w:eastAsia="tr-TR"/>
    </w:rPr>
  </w:style>
  <w:style w:type="paragraph" w:styleId="T5">
    <w:name w:val="toc 5"/>
    <w:basedOn w:val="Normal"/>
    <w:next w:val="Normal"/>
    <w:autoRedefine/>
    <w:uiPriority w:val="39"/>
    <w:unhideWhenUsed/>
    <w:rsid w:val="00E4115B"/>
    <w:pPr>
      <w:spacing w:after="100"/>
      <w:ind w:left="880"/>
    </w:pPr>
    <w:rPr>
      <w:rFonts w:eastAsiaTheme="minorEastAsia"/>
      <w:lang w:eastAsia="tr-TR"/>
    </w:rPr>
  </w:style>
  <w:style w:type="paragraph" w:styleId="T6">
    <w:name w:val="toc 6"/>
    <w:basedOn w:val="Normal"/>
    <w:next w:val="Normal"/>
    <w:autoRedefine/>
    <w:uiPriority w:val="39"/>
    <w:unhideWhenUsed/>
    <w:rsid w:val="00E4115B"/>
    <w:pPr>
      <w:spacing w:after="100"/>
      <w:ind w:left="1100"/>
    </w:pPr>
    <w:rPr>
      <w:rFonts w:eastAsiaTheme="minorEastAsia"/>
      <w:lang w:eastAsia="tr-TR"/>
    </w:rPr>
  </w:style>
  <w:style w:type="paragraph" w:styleId="T7">
    <w:name w:val="toc 7"/>
    <w:basedOn w:val="Normal"/>
    <w:next w:val="Normal"/>
    <w:autoRedefine/>
    <w:uiPriority w:val="39"/>
    <w:unhideWhenUsed/>
    <w:rsid w:val="00E4115B"/>
    <w:pPr>
      <w:spacing w:after="100"/>
      <w:ind w:left="1320"/>
    </w:pPr>
    <w:rPr>
      <w:rFonts w:eastAsiaTheme="minorEastAsia"/>
      <w:lang w:eastAsia="tr-TR"/>
    </w:rPr>
  </w:style>
  <w:style w:type="paragraph" w:styleId="T8">
    <w:name w:val="toc 8"/>
    <w:basedOn w:val="Normal"/>
    <w:next w:val="Normal"/>
    <w:autoRedefine/>
    <w:uiPriority w:val="39"/>
    <w:unhideWhenUsed/>
    <w:rsid w:val="00E4115B"/>
    <w:pPr>
      <w:spacing w:after="100"/>
      <w:ind w:left="1540"/>
    </w:pPr>
    <w:rPr>
      <w:rFonts w:eastAsiaTheme="minorEastAsia"/>
      <w:lang w:eastAsia="tr-TR"/>
    </w:rPr>
  </w:style>
  <w:style w:type="paragraph" w:styleId="T9">
    <w:name w:val="toc 9"/>
    <w:basedOn w:val="Normal"/>
    <w:next w:val="Normal"/>
    <w:autoRedefine/>
    <w:uiPriority w:val="39"/>
    <w:unhideWhenUsed/>
    <w:rsid w:val="00E4115B"/>
    <w:pPr>
      <w:spacing w:after="100"/>
      <w:ind w:left="1760"/>
    </w:pPr>
    <w:rPr>
      <w:rFonts w:eastAsiaTheme="minorEastAsia"/>
      <w:lang w:eastAsia="tr-TR"/>
    </w:rPr>
  </w:style>
  <w:style w:type="paragraph" w:customStyle="1" w:styleId="3-NormalYaz">
    <w:name w:val="3-Normal Yazı"/>
    <w:rsid w:val="002E7273"/>
    <w:pPr>
      <w:tabs>
        <w:tab w:val="left" w:pos="566"/>
      </w:tabs>
      <w:spacing w:after="0" w:line="240" w:lineRule="auto"/>
      <w:jc w:val="both"/>
    </w:pPr>
    <w:rPr>
      <w:rFonts w:ascii="Times New Roman" w:eastAsia="Times New Roman" w:hAnsi="Times New Roman" w:cs="Times New Roman"/>
      <w:sz w:val="19"/>
      <w:szCs w:val="20"/>
    </w:rPr>
  </w:style>
  <w:style w:type="character" w:styleId="AklamaBavurusu">
    <w:name w:val="annotation reference"/>
    <w:basedOn w:val="VarsaylanParagrafYazTipi"/>
    <w:uiPriority w:val="99"/>
    <w:semiHidden/>
    <w:unhideWhenUsed/>
    <w:rsid w:val="00B050AA"/>
    <w:rPr>
      <w:sz w:val="16"/>
      <w:szCs w:val="16"/>
    </w:rPr>
  </w:style>
  <w:style w:type="paragraph" w:styleId="AklamaMetni">
    <w:name w:val="annotation text"/>
    <w:basedOn w:val="Normal"/>
    <w:link w:val="AklamaMetniChar"/>
    <w:uiPriority w:val="99"/>
    <w:semiHidden/>
    <w:unhideWhenUsed/>
    <w:rsid w:val="00B050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050AA"/>
    <w:rPr>
      <w:sz w:val="20"/>
      <w:szCs w:val="20"/>
    </w:rPr>
  </w:style>
  <w:style w:type="paragraph" w:styleId="AklamaKonusu">
    <w:name w:val="annotation subject"/>
    <w:basedOn w:val="AklamaMetni"/>
    <w:next w:val="AklamaMetni"/>
    <w:link w:val="AklamaKonusuChar"/>
    <w:uiPriority w:val="99"/>
    <w:semiHidden/>
    <w:unhideWhenUsed/>
    <w:rsid w:val="00B050AA"/>
    <w:rPr>
      <w:b/>
      <w:bCs/>
    </w:rPr>
  </w:style>
  <w:style w:type="character" w:customStyle="1" w:styleId="AklamaKonusuChar">
    <w:name w:val="Açıklama Konusu Char"/>
    <w:basedOn w:val="AklamaMetniChar"/>
    <w:link w:val="AklamaKonusu"/>
    <w:uiPriority w:val="99"/>
    <w:semiHidden/>
    <w:rsid w:val="00B050AA"/>
    <w:rPr>
      <w:b/>
      <w:bCs/>
      <w:sz w:val="20"/>
      <w:szCs w:val="20"/>
    </w:rPr>
  </w:style>
  <w:style w:type="paragraph" w:styleId="BalonMetni">
    <w:name w:val="Balloon Text"/>
    <w:basedOn w:val="Normal"/>
    <w:link w:val="BalonMetniChar"/>
    <w:uiPriority w:val="99"/>
    <w:semiHidden/>
    <w:unhideWhenUsed/>
    <w:rsid w:val="00B050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50AA"/>
    <w:rPr>
      <w:rFonts w:ascii="Segoe UI" w:hAnsi="Segoe UI" w:cs="Segoe UI"/>
      <w:sz w:val="18"/>
      <w:szCs w:val="18"/>
    </w:rPr>
  </w:style>
  <w:style w:type="paragraph" w:styleId="Dzeltme">
    <w:name w:val="Revision"/>
    <w:hidden/>
    <w:uiPriority w:val="99"/>
    <w:semiHidden/>
    <w:rsid w:val="004C51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41335">
      <w:bodyDiv w:val="1"/>
      <w:marLeft w:val="0"/>
      <w:marRight w:val="0"/>
      <w:marTop w:val="0"/>
      <w:marBottom w:val="0"/>
      <w:divBdr>
        <w:top w:val="none" w:sz="0" w:space="0" w:color="auto"/>
        <w:left w:val="none" w:sz="0" w:space="0" w:color="auto"/>
        <w:bottom w:val="none" w:sz="0" w:space="0" w:color="auto"/>
        <w:right w:val="none" w:sz="0" w:space="0" w:color="auto"/>
      </w:divBdr>
    </w:div>
    <w:div w:id="176017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B20C1-7118-4038-985B-80AB624B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19028</Words>
  <Characters>108466</Characters>
  <Application>Microsoft Office Word</Application>
  <DocSecurity>0</DocSecurity>
  <Lines>903</Lines>
  <Paragraphs>254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KORUCUOĞULLARI</dc:creator>
  <cp:keywords/>
  <dc:description/>
  <cp:lastModifiedBy>Derya KAHRAMAN</cp:lastModifiedBy>
  <cp:revision>2</cp:revision>
  <cp:lastPrinted>2021-03-09T07:13:00Z</cp:lastPrinted>
  <dcterms:created xsi:type="dcterms:W3CDTF">2021-03-16T11:56:00Z</dcterms:created>
  <dcterms:modified xsi:type="dcterms:W3CDTF">2021-03-16T11:56:00Z</dcterms:modified>
</cp:coreProperties>
</file>