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17" w:rsidRPr="005A2C17" w:rsidRDefault="005A2C17" w:rsidP="005A2C1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KONYA ŞUBE MÜDÜRLÜĞÜ 2020/2021 YILLARI PERSONEL VE RİNG SERVİSLERİ KİRALANMASI İŞİ</w:t>
      </w:r>
    </w:p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A2C17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BORU HATLARI İLE PETROL TAŞIMA A.Ş (BOTAŞ) KONYA ŞUBE MÜDÜRLÜĞÜ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  <w:t xml:space="preserve">Konya Şube Müdürlüğü 2020/2021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Yılları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Personel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Ring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Servisleri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Kiralanması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İşi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hizmet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alımı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4734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sayılı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Kamu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Kanununun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19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uncu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maddesine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göre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açık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usulü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edilecek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olup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sadece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ortamda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EKAP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alınacaktır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>.  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İhaleye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ayrıntılı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aşağıda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almaktadır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10"/>
        <w:gridCol w:w="5946"/>
      </w:tblGrid>
      <w:tr w:rsidR="005A2C17" w:rsidRPr="005A2C17" w:rsidTr="005A2C17">
        <w:tc>
          <w:tcPr>
            <w:tcW w:w="3300" w:type="dxa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İKN</w:t>
            </w:r>
          </w:p>
        </w:tc>
        <w:tc>
          <w:tcPr>
            <w:tcW w:w="5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2019/599429</w:t>
            </w:r>
          </w:p>
        </w:tc>
      </w:tr>
    </w:tbl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vanish/>
          <w:sz w:val="24"/>
          <w:szCs w:val="24"/>
          <w:lang w:val="en"/>
        </w:rPr>
      </w:pPr>
    </w:p>
    <w:tbl>
      <w:tblPr>
        <w:tblW w:w="53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141"/>
        <w:gridCol w:w="5246"/>
      </w:tblGrid>
      <w:tr w:rsidR="005A2C17" w:rsidRPr="005A2C17" w:rsidTr="005A2C17">
        <w:tc>
          <w:tcPr>
            <w:tcW w:w="5000" w:type="pct"/>
            <w:gridSpan w:val="3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1-İdarenin</w:t>
            </w:r>
          </w:p>
        </w:tc>
      </w:tr>
      <w:tr w:rsidR="005A2C17" w:rsidRPr="005A2C17" w:rsidTr="005A2C17">
        <w:tc>
          <w:tcPr>
            <w:tcW w:w="2286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Adı </w:t>
            </w:r>
          </w:p>
        </w:tc>
        <w:tc>
          <w:tcPr>
            <w:tcW w:w="71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BORU HATLARI İLE PETROL TAŞIMA A.Ş (BOTAŞ) KONYA ŞUBE MÜDÜRLÜĞÜ</w:t>
            </w:r>
          </w:p>
        </w:tc>
      </w:tr>
      <w:tr w:rsidR="005A2C17" w:rsidRPr="005A2C17" w:rsidTr="005A2C17">
        <w:tc>
          <w:tcPr>
            <w:tcW w:w="2286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Adresi </w:t>
            </w:r>
          </w:p>
        </w:tc>
        <w:tc>
          <w:tcPr>
            <w:tcW w:w="71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BAŞAK MAHALLESİ SARAY YOLU SOKAK NO:1 KARATAY/KONYA</w:t>
            </w:r>
          </w:p>
        </w:tc>
      </w:tr>
      <w:tr w:rsidR="005A2C17" w:rsidRPr="005A2C17" w:rsidTr="005A2C17">
        <w:tc>
          <w:tcPr>
            <w:tcW w:w="2286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Telefon ve faks numarası </w:t>
            </w:r>
          </w:p>
        </w:tc>
        <w:tc>
          <w:tcPr>
            <w:tcW w:w="71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3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3323340707 - 3323340712</w:t>
            </w:r>
          </w:p>
        </w:tc>
      </w:tr>
      <w:tr w:rsidR="005A2C17" w:rsidRPr="005A2C17" w:rsidTr="005A2C17">
        <w:tc>
          <w:tcPr>
            <w:tcW w:w="2286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71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3" w:type="pct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https://ekap.kik.gov.tr/EKAP/ </w:t>
            </w:r>
          </w:p>
        </w:tc>
      </w:tr>
    </w:tbl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2-İhale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konusu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hizmet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alımın</w:t>
      </w:r>
      <w:proofErr w:type="spellEnd"/>
    </w:p>
    <w:tbl>
      <w:tblPr>
        <w:tblW w:w="53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100"/>
        <w:gridCol w:w="6421"/>
      </w:tblGrid>
      <w:tr w:rsidR="005A2C17" w:rsidRPr="005A2C17" w:rsidTr="005A2C17">
        <w:tc>
          <w:tcPr>
            <w:tcW w:w="3403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Adı </w:t>
            </w:r>
          </w:p>
        </w:tc>
        <w:tc>
          <w:tcPr>
            <w:tcW w:w="1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Konya Şube Müdürlüğü 2020/2021 Yılları Personel ve Ring Servisleri Kiralanması İşi</w:t>
            </w:r>
          </w:p>
        </w:tc>
      </w:tr>
      <w:tr w:rsidR="005A2C17" w:rsidRPr="005A2C17" w:rsidTr="005A2C17">
        <w:tc>
          <w:tcPr>
            <w:tcW w:w="3403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Niteliği, türü ve miktarı </w:t>
            </w:r>
          </w:p>
        </w:tc>
        <w:tc>
          <w:tcPr>
            <w:tcW w:w="1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3 Adet 19+1 Otobüs/Minibüs Servisin Şoförlü Kiralanması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Ayrıntılı bilgiye </w:t>
            </w:r>
            <w:proofErr w:type="spell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EKAP’ta</w:t>
            </w:r>
            <w:proofErr w:type="spell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yer alan ihale dokümanı içinde bulunan idari şartnameden ulaşılabilir.</w:t>
            </w:r>
          </w:p>
        </w:tc>
      </w:tr>
      <w:tr w:rsidR="005A2C17" w:rsidRPr="005A2C17" w:rsidTr="005A2C17">
        <w:tc>
          <w:tcPr>
            <w:tcW w:w="3403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Yapılacağı/teslim edileceği yer </w:t>
            </w:r>
          </w:p>
        </w:tc>
        <w:tc>
          <w:tcPr>
            <w:tcW w:w="1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Konya İl ve İlçeleri</w:t>
            </w:r>
          </w:p>
        </w:tc>
      </w:tr>
      <w:tr w:rsidR="005A2C17" w:rsidRPr="005A2C17" w:rsidTr="005A2C17">
        <w:tc>
          <w:tcPr>
            <w:tcW w:w="3403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Süresi/teslim tarihi </w:t>
            </w:r>
          </w:p>
        </w:tc>
        <w:tc>
          <w:tcPr>
            <w:tcW w:w="1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İşe başlama tarihi 01.01.2020, işin bitiş tarihi 31.12.2021</w:t>
            </w:r>
          </w:p>
        </w:tc>
      </w:tr>
      <w:tr w:rsidR="005A2C17" w:rsidRPr="005A2C17" w:rsidTr="005A2C17">
        <w:tc>
          <w:tcPr>
            <w:tcW w:w="3403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İşe başlama tarihi </w:t>
            </w:r>
          </w:p>
        </w:tc>
        <w:tc>
          <w:tcPr>
            <w:tcW w:w="100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0" w:type="dxa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</w:tbl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3-İhalenin</w:t>
      </w:r>
    </w:p>
    <w:tbl>
      <w:tblPr>
        <w:tblW w:w="53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45"/>
        <w:gridCol w:w="4825"/>
      </w:tblGrid>
      <w:tr w:rsidR="005A2C17" w:rsidRPr="005A2C17" w:rsidTr="005A2C17">
        <w:tc>
          <w:tcPr>
            <w:tcW w:w="4962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İhale (son teklif verme) tarih ve saati </w:t>
            </w:r>
          </w:p>
        </w:tc>
        <w:tc>
          <w:tcPr>
            <w:tcW w:w="141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12.12.2019 - 10:00</w:t>
            </w:r>
          </w:p>
        </w:tc>
      </w:tr>
      <w:tr w:rsidR="005A2C17" w:rsidRPr="005A2C17" w:rsidTr="005A2C17">
        <w:tc>
          <w:tcPr>
            <w:tcW w:w="4962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İhale komisyonunun toplantı yeri (e-tekliflerin açılacağı adres) </w:t>
            </w:r>
          </w:p>
        </w:tc>
        <w:tc>
          <w:tcPr>
            <w:tcW w:w="141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BOTAŞ KAYSERİ İŞLETME MÜDÜRLÜĞÜ TOPLANTI SALONU</w:t>
            </w:r>
          </w:p>
        </w:tc>
      </w:tr>
    </w:tbl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4.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İhaleye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katılabilme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şartları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istenilen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belgeler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yeterlik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değerlendirmesinde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uygulanacak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kriterler</w:t>
      </w:r>
      <w:proofErr w:type="spellEnd"/>
      <w:proofErr w:type="gram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  <w:proofErr w:type="gramEnd"/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İsteklilerin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katılabilmeleri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için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aşağıda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sayılan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belgeler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yeterlik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kriterleri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dışı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unsurlara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e-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kapsamında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beyan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etmeleri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gerekmektedir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4.1.2.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vermeye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yetkili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olduğunu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gösteren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beyannamesi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sirkülerine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4.1.2.1.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Gerçek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5A2C17">
        <w:rPr>
          <w:rFonts w:ascii="Times New Roman" w:hAnsi="Times New Roman" w:cs="Times New Roman"/>
          <w:sz w:val="24"/>
          <w:szCs w:val="24"/>
          <w:lang w:val="en"/>
        </w:rPr>
        <w:t>kişi</w:t>
      </w:r>
      <w:proofErr w:type="spellEnd"/>
      <w:proofErr w:type="gram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olması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halinde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noter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tasdikli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beyannamesi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4.1.2.2.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kişi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olması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halinde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ilgisine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göre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kişiliğin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ortakları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üyeleri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kurucuları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kişiliğin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yönetimindeki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görevlileri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belirten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son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durumu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gösterir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Ticaret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Sicil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Gazetesi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tamamının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Ticaret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Sicil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Gazetesinde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bulunmaması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halinde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tümünü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göstermek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ilgili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Ticaret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Sicil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Gazeteleri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hususları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gösteren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belgeler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kişiliğin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noter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tasdikli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sirkülerine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4.1.3.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Şekli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içeriği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İdari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Şartnamede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belirlenen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mektubu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4.1.4.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Şekli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içeriği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İdari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Şartnamede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belirlenen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geçici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teminat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4.1.5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İstekliler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konusu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alımın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alt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yüklenicilere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yaptırmayı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düşündükleri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kısmını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yeterlik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tablosunda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belirteceklerdir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4.1.6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kişi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tarafından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iş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deneyimini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göstermek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sunulan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belgenin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tüzel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kişiliğin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yarısından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fazla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hissesine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sahip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ortağına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ait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olması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halinde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Türkiye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Odalar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Borsalar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Birliği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yeminli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mali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müşavir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da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serbest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muhasebeci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mali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müşavir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veya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noter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tarafından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ilk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lastRenderedPageBreak/>
        <w:t>tarihinden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sonra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düzenlenen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düzenlendiği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tarihten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geriye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doğru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son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yıldır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kesintisiz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olarak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şartın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korunduğunu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gösteren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belgeye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tbl>
      <w:tblPr>
        <w:tblW w:w="54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Ekonomik ve mali yeterliğe ilişkin belgeler ve bu belgelerin taşıması gereken </w:t>
            </w:r>
            <w:proofErr w:type="gramStart"/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kriterler</w:t>
            </w:r>
            <w:proofErr w:type="gramEnd"/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4.2.1. İsteklinin ihalenin yapıldığı yıldan önceki yıla ait </w:t>
            </w:r>
            <w:proofErr w:type="gramStart"/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 sonu</w:t>
            </w:r>
            <w:proofErr w:type="gramEnd"/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bilanço bilgileri: </w:t>
            </w:r>
          </w:p>
        </w:tc>
      </w:tr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Sunulan bilanço veya eşdeğer belgelerde;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>a) Cari oranın (dönen varlıklar/kısa vadeli borçlar) en az 0,75 olduğunu,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>b) Öz kaynak oranının (öz kaynaklar/toplam aktif) en az 0,15 olduğunu,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c) Kısa vadeli banka borçlarının öz kaynaklara oranının 0,50’den küçük olduğunu ve belirtilen üç kriterin birlikte sağlandığını göstermek üzere </w:t>
            </w:r>
            <w:proofErr w:type="gram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yıl sonu</w:t>
            </w:r>
            <w:proofErr w:type="gram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bilanço belgelerine ilişkin bilgileri belirtebilirler.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Yukarıda belirtilen </w:t>
            </w:r>
            <w:proofErr w:type="gram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bir önceki yılda sağlayamayanlar, son iki yıla ait belgelerine ilişkin bilgileri sunabilirler. Bu takdirde, son iki yılın parasal tutarlarının ortalaması üzerinden yeterlik </w:t>
            </w:r>
            <w:proofErr w:type="gram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kriterlerinin</w:t>
            </w:r>
            <w:proofErr w:type="gram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sağlanıp sağlanmadığına bakılır.</w:t>
            </w:r>
          </w:p>
        </w:tc>
      </w:tr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4.2.2. İş hacmini gösteren belgeler: </w:t>
            </w:r>
          </w:p>
        </w:tc>
      </w:tr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a) İhalenin yapıldığı yıldan önceki yıla ait toplam ciroyu gösteren gelir tablosu, 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Hizmet işleri ile ilgili ciro tutarını gösteren belgeler, 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Bu belgelerden birinin sunulması yeterlidir. 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Toplam cironun teklif edilen bedelin %20’sinden, hizmet işleri ile ilgili cironun ise teklif edilen bedelin %12'sinden az olmaması gerekir. Bu </w:t>
            </w:r>
            <w:proofErr w:type="gram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kriterlerden</w:t>
            </w:r>
            <w:proofErr w:type="gram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herhangi birini sağlayan ve sağladığı kritere ilişkin belgeyi sunan istekli yeterli kabul edilir. </w:t>
            </w:r>
            <w:r w:rsidRPr="005A2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Bu </w:t>
            </w:r>
            <w:proofErr w:type="gram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bir önceki yılda sağlayamayanlar, son iki yıla ait belgelerini sunabilirler. Bu takdirde son iki yılın parasal tutarlarının ortalaması üzerinden yeterlik </w:t>
            </w:r>
            <w:proofErr w:type="gram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kriterlerinin</w:t>
            </w:r>
            <w:proofErr w:type="gram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sağlanıp sağlanamadığına bakılır. </w:t>
            </w:r>
          </w:p>
        </w:tc>
      </w:tr>
    </w:tbl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vanish/>
          <w:sz w:val="24"/>
          <w:szCs w:val="24"/>
          <w:lang w:val="en"/>
        </w:rPr>
      </w:pPr>
    </w:p>
    <w:tbl>
      <w:tblPr>
        <w:tblW w:w="54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 Mesleki ve teknik yeterliğe ilişkin belgeler ve bu belgelerin taşıması gereken </w:t>
            </w:r>
            <w:proofErr w:type="gramStart"/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kriterler</w:t>
            </w:r>
            <w:proofErr w:type="gramEnd"/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4.3.1. İş deneyimini gösteren belgelere ilişkin bilgiler: </w:t>
            </w:r>
          </w:p>
        </w:tc>
      </w:tr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Son beş yıl içinde bedel içeren bir sözleşme kapsamında kabul işlemleri tamamlanan ve teklif edilen bedelin % 40 oranından az olmamak üzere, ihale konusu iş veya benzer işlere ilişkin iş deneyimini gösteren belgeler veya teknolojik ürün deneyim belgesi. </w:t>
            </w:r>
          </w:p>
        </w:tc>
      </w:tr>
    </w:tbl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vanish/>
          <w:sz w:val="24"/>
          <w:szCs w:val="24"/>
          <w:lang w:val="en"/>
        </w:rPr>
      </w:pPr>
    </w:p>
    <w:tbl>
      <w:tblPr>
        <w:tblW w:w="54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4"/>
      </w:tblGrid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 Bu ihalede benzer iş olarak kabul edilecek işler:</w:t>
            </w:r>
          </w:p>
        </w:tc>
      </w:tr>
      <w:tr w:rsidR="005A2C17" w:rsidRPr="005A2C17" w:rsidTr="005A2C17">
        <w:tc>
          <w:tcPr>
            <w:tcW w:w="5000" w:type="pct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4.4.1.</w:t>
            </w:r>
          </w:p>
          <w:p w:rsidR="005A2C17" w:rsidRPr="005A2C17" w:rsidRDefault="005A2C17" w:rsidP="005A2C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KAMU </w:t>
            </w:r>
            <w:proofErr w:type="gramStart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5A2C17">
              <w:rPr>
                <w:rFonts w:ascii="Times New Roman" w:hAnsi="Times New Roman" w:cs="Times New Roman"/>
                <w:sz w:val="24"/>
                <w:szCs w:val="24"/>
              </w:rPr>
              <w:t xml:space="preserve"> ÖZEL SEKTÖRE GERÇEKLEŞTİRİLMİŞ PERSONEL VEYA ÖĞRENCİ TAŞIMACILIĞI İŞLERİ BENZER İŞ OLARAK DEĞERLENDİRİLECEKTİR.</w:t>
            </w:r>
          </w:p>
        </w:tc>
      </w:tr>
    </w:tbl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5.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Ekonomik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açıdan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avantajlı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sadece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esasına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göre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belirlenecektir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6.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İhaleye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sadece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yerli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istekliler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katılabilecektir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7.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dokümanı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EKAP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bedelsiz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olarak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görülebilir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Ancak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verecek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olanların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>, e-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kullanarak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EKAP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dokümanını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indirmeleri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zorunludur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8.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EKAP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ortamda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hazırlandıktan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sonra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>, e-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imzalanarak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ilişkin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e-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anahtar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birlikte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tarih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saatine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5A2C17">
        <w:rPr>
          <w:rFonts w:ascii="Times New Roman" w:hAnsi="Times New Roman" w:cs="Times New Roman"/>
          <w:sz w:val="24"/>
          <w:szCs w:val="24"/>
          <w:lang w:val="en"/>
        </w:rPr>
        <w:t>kadar</w:t>
      </w:r>
      <w:proofErr w:type="spellEnd"/>
      <w:proofErr w:type="gram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EKAP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gönderilecektir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9.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İstekliler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tekliflerini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her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iş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kaleminin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miktarı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iş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kalemleri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için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edilen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birim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fiyatların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çarpımı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sonucu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bulunan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toplam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bedel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birim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şeklinde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verilecektir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sonucunda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yapılan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istekli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birim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fiyat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sözleşme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imzalanacaktır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10.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Bu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işin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tamamı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için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verilecektir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11.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İstekliler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ettikleri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bedelin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%3’ünden </w:t>
      </w:r>
      <w:proofErr w:type="spellStart"/>
      <w:proofErr w:type="gramStart"/>
      <w:r w:rsidRPr="005A2C17">
        <w:rPr>
          <w:rFonts w:ascii="Times New Roman" w:hAnsi="Times New Roman" w:cs="Times New Roman"/>
          <w:sz w:val="24"/>
          <w:szCs w:val="24"/>
          <w:lang w:val="en"/>
        </w:rPr>
        <w:t>az</w:t>
      </w:r>
      <w:proofErr w:type="spellEnd"/>
      <w:proofErr w:type="gram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olmamak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kendi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belirleyecekleri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tutarda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geçici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teminat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vereceklerdir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12.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Bu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elektronik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eksiltme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yapılmayacaktır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13.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Verilen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tekliflerin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geçerlilik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süresi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tarihinden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itibaren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60 (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altmış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takvim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günüdür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14</w:t>
      </w:r>
      <w:proofErr w:type="gram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t>Konsorsiyum</w:t>
      </w:r>
      <w:proofErr w:type="gram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olarak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ihaleye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verilemez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15.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Diğer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hususlar</w:t>
      </w:r>
      <w:proofErr w:type="spellEnd"/>
      <w:r w:rsidRPr="005A2C17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</w:p>
    <w:p w:rsidR="005A2C17" w:rsidRPr="005A2C17" w:rsidRDefault="005A2C17" w:rsidP="005A2C17">
      <w:pPr>
        <w:spacing w:after="0" w:line="25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İhalede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Uygulanacak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Sınır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Değer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Katsayısı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(R</w:t>
      </w:r>
      <w:proofErr w:type="gramStart"/>
      <w:r w:rsidRPr="005A2C17">
        <w:rPr>
          <w:rFonts w:ascii="Times New Roman" w:hAnsi="Times New Roman" w:cs="Times New Roman"/>
          <w:sz w:val="24"/>
          <w:szCs w:val="24"/>
          <w:lang w:val="en"/>
        </w:rPr>
        <w:t>) :</w:t>
      </w:r>
      <w:proofErr w:type="gram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Diğer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Hizmetler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>/0,80</w:t>
      </w:r>
      <w:r w:rsidRPr="005A2C17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Aşırı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düşük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değerlendirme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yöntemi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İhale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Kanunun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38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inci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maddesinde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öngörülen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açıklama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istenmeksizin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ekonomik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açıdan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avantajlı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teklif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üzerinde</w:t>
      </w:r>
      <w:proofErr w:type="spellEnd"/>
      <w:r w:rsidRPr="005A2C1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A2C17">
        <w:rPr>
          <w:rFonts w:ascii="Times New Roman" w:hAnsi="Times New Roman" w:cs="Times New Roman"/>
          <w:sz w:val="24"/>
          <w:szCs w:val="24"/>
          <w:lang w:val="en"/>
        </w:rPr>
        <w:t>bırakılacaktır</w:t>
      </w:r>
      <w:bookmarkStart w:id="0" w:name="_GoBack"/>
      <w:bookmarkEnd w:id="0"/>
      <w:proofErr w:type="spellEnd"/>
    </w:p>
    <w:sectPr w:rsidR="005A2C17" w:rsidRPr="005A2C17" w:rsidSect="005A2C17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17"/>
    <w:rsid w:val="003021D0"/>
    <w:rsid w:val="005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5CB8-46A8-4516-84A7-F217F20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YILDIZ</dc:creator>
  <cp:keywords/>
  <dc:description/>
  <cp:lastModifiedBy>Sedat YILDIZ</cp:lastModifiedBy>
  <cp:revision>1</cp:revision>
  <dcterms:created xsi:type="dcterms:W3CDTF">2019-11-19T06:10:00Z</dcterms:created>
  <dcterms:modified xsi:type="dcterms:W3CDTF">2019-11-19T06:11:00Z</dcterms:modified>
</cp:coreProperties>
</file>